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93" w:rsidRPr="00AB1FE2" w:rsidRDefault="00E83093" w:rsidP="00E83093">
      <w:pPr>
        <w:jc w:val="center"/>
        <w:rPr>
          <w:rFonts w:ascii="Cambria" w:hAnsi="Cambria"/>
          <w:sz w:val="24"/>
          <w:szCs w:val="24"/>
        </w:rPr>
      </w:pPr>
      <w:r w:rsidRPr="00AB1FE2">
        <w:rPr>
          <w:rFonts w:ascii="Cambria" w:eastAsia="Arial" w:hAnsi="Cambria" w:cs="Arial"/>
          <w:b/>
          <w:bCs/>
          <w:sz w:val="24"/>
          <w:szCs w:val="24"/>
        </w:rPr>
        <w:t xml:space="preserve">Especificaciones técnicas para la adquisición del Dispositivo Médico </w:t>
      </w:r>
      <w:r w:rsidRPr="00AB1FE2">
        <w:rPr>
          <w:rFonts w:ascii="Cambria" w:eastAsia="Arial" w:hAnsi="Cambria" w:cs="Arial"/>
          <w:b/>
          <w:bCs/>
          <w:i/>
          <w:iCs/>
          <w:sz w:val="24"/>
          <w:szCs w:val="24"/>
        </w:rPr>
        <w:t>“Kit para determinación de virus COVID-19 por PCR en tiempo real”</w:t>
      </w:r>
    </w:p>
    <w:p w:rsidR="00E83093" w:rsidRPr="00AB1FE2" w:rsidRDefault="00E83093" w:rsidP="00E83093">
      <w:pPr>
        <w:jc w:val="center"/>
        <w:rPr>
          <w:rFonts w:ascii="Cambria" w:hAnsi="Cambria" w:cs="Arial"/>
          <w:sz w:val="24"/>
          <w:szCs w:val="24"/>
        </w:rPr>
      </w:pPr>
    </w:p>
    <w:p w:rsidR="00E83093" w:rsidRPr="00AB1FE2" w:rsidRDefault="00E83093" w:rsidP="00E83093">
      <w:pPr>
        <w:pStyle w:val="Ttulo11"/>
        <w:tabs>
          <w:tab w:val="left" w:pos="1022"/>
        </w:tabs>
        <w:spacing w:before="0"/>
        <w:ind w:left="0" w:right="680" w:firstLine="0"/>
        <w:rPr>
          <w:rFonts w:ascii="Cambria" w:hAnsi="Cambria"/>
          <w:sz w:val="24"/>
          <w:szCs w:val="24"/>
        </w:rPr>
      </w:pPr>
      <w:r w:rsidRPr="00AB1FE2">
        <w:rPr>
          <w:rFonts w:ascii="Cambria" w:hAnsi="Cambria"/>
          <w:sz w:val="24"/>
          <w:szCs w:val="24"/>
          <w:u w:val="none"/>
        </w:rPr>
        <w:t>1. Antecedentes</w:t>
      </w:r>
    </w:p>
    <w:p w:rsidR="00E83093" w:rsidRPr="00AB1FE2" w:rsidRDefault="00E83093" w:rsidP="00E83093">
      <w:pPr>
        <w:pStyle w:val="Ttulo11"/>
        <w:tabs>
          <w:tab w:val="left" w:pos="1022"/>
        </w:tabs>
        <w:spacing w:before="0"/>
        <w:ind w:left="0" w:right="680" w:firstLine="0"/>
        <w:jc w:val="both"/>
        <w:rPr>
          <w:rFonts w:ascii="Cambria" w:hAnsi="Cambria"/>
          <w:sz w:val="24"/>
          <w:szCs w:val="24"/>
          <w:u w:val="none"/>
        </w:rPr>
      </w:pPr>
    </w:p>
    <w:p w:rsidR="00E83093" w:rsidRPr="00AB1FE2" w:rsidRDefault="00E83093" w:rsidP="00E83093">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La Organización Mundial de la Salud (OMS), el día miércoles 11 de marzo de 2020, a través de su</w:t>
      </w:r>
      <w:r w:rsidRPr="00AB1FE2">
        <w:rPr>
          <w:rFonts w:ascii="Cambria" w:hAnsi="Cambria"/>
          <w:color w:val="000000"/>
          <w:sz w:val="24"/>
          <w:szCs w:val="24"/>
        </w:rPr>
        <w:t xml:space="preserve"> </w:t>
      </w:r>
      <w:r w:rsidRPr="00AB1FE2">
        <w:rPr>
          <w:rFonts w:ascii="Cambria" w:hAnsi="Cambria" w:cs="Arial"/>
          <w:color w:val="000000"/>
          <w:sz w:val="24"/>
          <w:szCs w:val="24"/>
        </w:rPr>
        <w:t>Director General ha declarado el brote de coronavirus como pandemia global, pidiendo a los países intensificar las acciones para mitigar su propagación, proteger a las personas y trabajadores de salud, y salvar vidas; considerando que no será únicamente una crisis de salud pública, es una crisis que afectará a todos los sectores, y por esa razón todos los sectores y todas las personas deben tomar parte en la lucha.</w:t>
      </w:r>
      <w:r w:rsidRPr="00AB1FE2">
        <w:rPr>
          <w:rFonts w:ascii="Cambria" w:hAnsi="Cambria" w:cs="Arial"/>
          <w:noProof/>
          <w:color w:val="000000"/>
          <w:sz w:val="24"/>
          <w:szCs w:val="24"/>
        </w:rPr>
        <w:t xml:space="preserve"> (Organización Mundial de la Salud OMS, 2020)</w:t>
      </w:r>
      <w:r w:rsidRPr="00AB1FE2">
        <w:rPr>
          <w:rFonts w:ascii="Cambria" w:hAnsi="Cambria" w:cs="Arial"/>
          <w:color w:val="000000"/>
          <w:sz w:val="24"/>
          <w:szCs w:val="24"/>
        </w:rPr>
        <w:t>.</w:t>
      </w:r>
    </w:p>
    <w:p w:rsidR="00E83093" w:rsidRPr="00AB1FE2" w:rsidRDefault="00E83093" w:rsidP="00E83093">
      <w:pPr>
        <w:pStyle w:val="Prrafodelista"/>
        <w:tabs>
          <w:tab w:val="left" w:pos="4710"/>
        </w:tabs>
        <w:spacing w:line="276" w:lineRule="auto"/>
        <w:jc w:val="both"/>
        <w:rPr>
          <w:rFonts w:ascii="Cambria" w:hAnsi="Cambria" w:cs="Arial"/>
          <w:color w:val="000000"/>
          <w:sz w:val="24"/>
          <w:szCs w:val="24"/>
          <w:lang w:val="es-ES_tradnl"/>
        </w:rPr>
      </w:pPr>
    </w:p>
    <w:p w:rsidR="00E83093" w:rsidRPr="00AB1FE2" w:rsidRDefault="00E83093" w:rsidP="00E83093">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Mediante Acuerdo Ministerial No. 00126-2020 de 11 de marzo de 2020, publicado en el </w:t>
      </w:r>
      <w:r w:rsidRPr="00AB1FE2">
        <w:rPr>
          <w:rFonts w:ascii="Cambria" w:hAnsi="Cambria" w:cs="Arial"/>
          <w:b/>
          <w:bCs/>
          <w:color w:val="000000"/>
          <w:sz w:val="24"/>
          <w:szCs w:val="24"/>
        </w:rPr>
        <w:t>Suplemento – Registro Oficial Nº 160</w:t>
      </w:r>
      <w:r w:rsidRPr="00AB1FE2">
        <w:rPr>
          <w:rFonts w:ascii="Cambria" w:hAnsi="Cambria" w:cs="Arial"/>
          <w:color w:val="000000"/>
          <w:sz w:val="24"/>
          <w:szCs w:val="24"/>
        </w:rPr>
        <w:t xml:space="preserve">, el 12 de marzo de 2020; la Ministra de Salud Pública, en ejercicio de las atribuciones que le confieren los artículos 154, numeral 1 de la Constitución de la República del Ecuador y 17 del Estatuto del Régimen jurídico y administrativo de la función Ejecutiva Acuerda en el Artículo 1 del mencionado Instrumento: </w:t>
      </w:r>
      <w:r w:rsidRPr="00AB1FE2">
        <w:rPr>
          <w:rFonts w:ascii="Cambria" w:hAnsi="Cambria" w:cs="Arial"/>
          <w:i/>
          <w:color w:val="000000"/>
          <w:sz w:val="24"/>
          <w:szCs w:val="24"/>
        </w:rPr>
        <w:t xml:space="preserve">“ (…) </w:t>
      </w:r>
      <w:r w:rsidRPr="00AB1FE2">
        <w:rPr>
          <w:rFonts w:ascii="Cambria" w:hAnsi="Cambria" w:cs="Arial"/>
          <w:b/>
          <w:i/>
          <w:color w:val="000000"/>
          <w:sz w:val="24"/>
          <w:szCs w:val="24"/>
        </w:rPr>
        <w:t xml:space="preserve">Declarar el Estado de Emergencia Sanitaria </w:t>
      </w:r>
      <w:r w:rsidRPr="00AB1FE2">
        <w:rPr>
          <w:rFonts w:ascii="Cambria" w:hAnsi="Cambria" w:cs="Arial"/>
          <w:i/>
          <w:color w:val="000000"/>
          <w:sz w:val="24"/>
          <w:szCs w:val="24"/>
        </w:rPr>
        <w:t>en todos los establecimientos del Sistema Nacional de Salud, en los servicios de laboratorio, unidades de epidemiología y control, ambulancias aéreas, servicios de médicos y paramédicos, hospitalización y consulta externa por la inminente posibilidad del efecto provocado por el coronavirus COVID-19, y prevenir un posible contagio masivo en la población.”</w:t>
      </w:r>
    </w:p>
    <w:p w:rsidR="00E83093" w:rsidRPr="00AB1FE2" w:rsidRDefault="00E83093" w:rsidP="00E83093">
      <w:pPr>
        <w:tabs>
          <w:tab w:val="left" w:pos="4710"/>
        </w:tabs>
        <w:spacing w:line="276" w:lineRule="auto"/>
        <w:jc w:val="both"/>
        <w:rPr>
          <w:rFonts w:ascii="Cambria" w:hAnsi="Cambria" w:cs="Arial"/>
          <w:color w:val="000000"/>
          <w:sz w:val="24"/>
          <w:szCs w:val="24"/>
        </w:rPr>
      </w:pPr>
    </w:p>
    <w:p w:rsidR="00E83093" w:rsidRPr="00AB1FE2" w:rsidRDefault="00E83093" w:rsidP="00E83093">
      <w:pPr>
        <w:tabs>
          <w:tab w:val="left" w:pos="4710"/>
        </w:tabs>
        <w:spacing w:line="276" w:lineRule="auto"/>
        <w:jc w:val="both"/>
        <w:rPr>
          <w:rFonts w:ascii="Cambria" w:hAnsi="Cambria" w:cs="Arial"/>
          <w:i/>
          <w:color w:val="000000"/>
          <w:sz w:val="24"/>
          <w:szCs w:val="24"/>
        </w:rPr>
      </w:pPr>
      <w:r w:rsidRPr="00AB1FE2">
        <w:rPr>
          <w:rFonts w:ascii="Cambria" w:hAnsi="Cambria" w:cs="Arial"/>
          <w:color w:val="000000"/>
          <w:sz w:val="24"/>
          <w:szCs w:val="24"/>
        </w:rPr>
        <w:t>Mediante Decreto Ejecutivo Nro. 1017, de 16 de marzo de 2020, el Presidente Constitucional de la República resolvió: “</w:t>
      </w:r>
      <w:r w:rsidRPr="00AB1FE2">
        <w:rPr>
          <w:rFonts w:ascii="Cambria" w:hAnsi="Cambria" w:cs="Arial"/>
          <w:i/>
          <w:color w:val="000000"/>
          <w:sz w:val="24"/>
          <w:szCs w:val="24"/>
        </w:rPr>
        <w:t>(…)</w:t>
      </w:r>
      <w:r w:rsidRPr="00AB1FE2">
        <w:rPr>
          <w:rFonts w:ascii="Cambria" w:hAnsi="Cambria" w:cs="Arial"/>
          <w:b/>
          <w:i/>
          <w:color w:val="000000"/>
          <w:sz w:val="24"/>
          <w:szCs w:val="24"/>
        </w:rPr>
        <w:t xml:space="preserve"> Artículo 1.-</w:t>
      </w:r>
      <w:r w:rsidRPr="00AB1FE2">
        <w:rPr>
          <w:rFonts w:ascii="Cambria" w:hAnsi="Cambria" w:cs="Arial"/>
          <w:i/>
          <w:color w:val="000000"/>
          <w:sz w:val="24"/>
          <w:szCs w:val="24"/>
        </w:rPr>
        <w:t xml:space="preserve"> DECLÁRASE el estado de excepción por calamidad pública en todo el territorio nacional, por los casos de coronavirus confirmados y la declaratoria de pandemia de COVID-19 por parte de la Organización Mundial de la Salud, que representan un alto riesgo de contagio para todo la ciudadanía y generan afectación a los derechos a la salud y convivencia pacífica del Estado, a fin de controlar la situación de emergencia sanitaria para garantizar los derechos de las personas ante la inminente presencia del virus COVID-19 en Ecuador” .</w:t>
      </w:r>
    </w:p>
    <w:p w:rsidR="00E83093" w:rsidRPr="00AB1FE2" w:rsidRDefault="00E83093" w:rsidP="00E83093">
      <w:pPr>
        <w:tabs>
          <w:tab w:val="left" w:pos="4710"/>
        </w:tabs>
        <w:spacing w:line="276" w:lineRule="auto"/>
        <w:jc w:val="both"/>
        <w:rPr>
          <w:rFonts w:ascii="Cambria" w:hAnsi="Cambria" w:cs="Arial"/>
          <w:i/>
          <w:color w:val="000000"/>
          <w:sz w:val="24"/>
          <w:szCs w:val="24"/>
        </w:rPr>
      </w:pPr>
    </w:p>
    <w:p w:rsidR="00E83093" w:rsidRPr="00AB1FE2" w:rsidRDefault="00E83093" w:rsidP="00E83093">
      <w:pPr>
        <w:tabs>
          <w:tab w:val="left" w:pos="4710"/>
        </w:tabs>
        <w:spacing w:line="276" w:lineRule="auto"/>
        <w:jc w:val="both"/>
        <w:rPr>
          <w:rFonts w:ascii="Cambria" w:hAnsi="Cambria" w:cs="Arial"/>
          <w:i/>
          <w:color w:val="000000"/>
          <w:sz w:val="24"/>
          <w:szCs w:val="24"/>
        </w:rPr>
      </w:pPr>
      <w:r w:rsidRPr="00AB1FE2">
        <w:rPr>
          <w:rFonts w:ascii="Cambria" w:hAnsi="Cambria" w:cs="Arial"/>
          <w:color w:val="000000"/>
          <w:sz w:val="24"/>
          <w:szCs w:val="24"/>
        </w:rPr>
        <w:t xml:space="preserve"> A través de Acuerdo Ministerial Nro. 00128-2020, de 16 de marzo de 2020, publicado en la Edición Especial Nro. 449 del Registro Oficial de 17 de marzo de 2020, la señora Ministra de Salud Pública resolvió: </w:t>
      </w:r>
      <w:r w:rsidRPr="00AB1FE2">
        <w:rPr>
          <w:rFonts w:ascii="Cambria" w:hAnsi="Cambria" w:cs="Arial"/>
          <w:i/>
          <w:color w:val="000000"/>
          <w:sz w:val="24"/>
          <w:szCs w:val="24"/>
        </w:rPr>
        <w:t xml:space="preserve">“(…) Art. 1.- Sustitúyase el Art. 4 del Acuerdo Ministerial No. 00004802, por el cual se instrumenta la delegación realizada al/la Coordinador/ General Administrativo/a Financiero/a, por el siguiente: “Art. 4.- Delegar al/la Coordinador/ General Administrativo/a Financiero/a, las siguientes facultades y atribuciones establecidas para la máxima autoridad del Ministerio de Salud Pública. a) Autorizar el inicio de los procedimientos de adquisición  de bienes, obras y prestación de servicios incluidos los de consultoría y suscribir los actos y contratos relacionados con el cumplimiento de las disposiciones de la Ley Orgánica del Sistema Nacional de Contratación Pública –LOSNCP-, su Reglamento General y demás resoluciones emitidas por el Servicio Nacional de </w:t>
      </w:r>
      <w:r w:rsidRPr="00AB1FE2">
        <w:rPr>
          <w:rFonts w:ascii="Cambria" w:hAnsi="Cambria" w:cs="Arial"/>
          <w:i/>
          <w:color w:val="000000"/>
          <w:sz w:val="24"/>
          <w:szCs w:val="24"/>
        </w:rPr>
        <w:lastRenderedPageBreak/>
        <w:t>Contratación Pública- SERCOP -, en el ámbito de sus respectivas competencias establecidas en el Estatuto Orgánico Sustitutivo de Organizacional por Procesos del Ministerio de Salud Pública, y de las dependencias de la Planta Central que no estén contemplados en los artículos anteriores en los siguientes casos:</w:t>
      </w:r>
    </w:p>
    <w:p w:rsidR="00E83093" w:rsidRPr="00AB1FE2" w:rsidRDefault="00E83093" w:rsidP="00E83093">
      <w:pPr>
        <w:tabs>
          <w:tab w:val="left" w:pos="4710"/>
        </w:tabs>
        <w:spacing w:line="276" w:lineRule="auto"/>
        <w:jc w:val="both"/>
        <w:rPr>
          <w:rFonts w:ascii="Cambria" w:hAnsi="Cambria" w:cs="Arial"/>
          <w:i/>
          <w:color w:val="000000"/>
          <w:sz w:val="24"/>
          <w:szCs w:val="24"/>
        </w:rPr>
      </w:pPr>
      <w:r w:rsidRPr="00AB1FE2">
        <w:rPr>
          <w:rFonts w:ascii="Cambria" w:hAnsi="Cambria" w:cs="Arial"/>
          <w:i/>
          <w:color w:val="000000"/>
          <w:sz w:val="24"/>
          <w:szCs w:val="24"/>
        </w:rPr>
        <w:t xml:space="preserve"> (…) 6. Contrataciones por Emergencia (…)”.</w:t>
      </w:r>
    </w:p>
    <w:p w:rsidR="00E83093" w:rsidRPr="00AB1FE2" w:rsidRDefault="00E83093" w:rsidP="00E83093">
      <w:pPr>
        <w:tabs>
          <w:tab w:val="left" w:pos="4710"/>
        </w:tabs>
        <w:spacing w:line="276" w:lineRule="auto"/>
        <w:jc w:val="both"/>
        <w:rPr>
          <w:rFonts w:ascii="Cambria" w:hAnsi="Cambria" w:cs="Arial"/>
          <w:i/>
          <w:color w:val="000000"/>
          <w:sz w:val="24"/>
          <w:szCs w:val="24"/>
        </w:rPr>
      </w:pPr>
    </w:p>
    <w:p w:rsidR="00E83093" w:rsidRPr="00AB1FE2" w:rsidRDefault="00E83093" w:rsidP="00E83093">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De conformidad a la Resolución Nro. 00026-2020 de 18 de marzo de 2020, publicada en la Edición Especial Nro. 452 de 18 de marzo de 2020, mediante el cual la Señora Ministra de Salud Pública resolvió</w:t>
      </w:r>
      <w:r w:rsidRPr="00AB1FE2">
        <w:rPr>
          <w:rFonts w:ascii="Cambria" w:hAnsi="Cambria" w:cs="Arial"/>
          <w:i/>
          <w:color w:val="000000"/>
          <w:sz w:val="24"/>
          <w:szCs w:val="24"/>
        </w:rPr>
        <w:t>: “Art. 1.- Declarar el Estado de Emergencia Institucional conforme lo preceptúa el artículo 57 de la Ley Orgánica del Sistema Nacional de Contratación Pública, en concordancia con la Emergencia Sanitaria Nacional contenida en el Acuerdo Ministerial No. 00126-2020 de 11 de marzo de 2020, en concordancia con lo dispuesto en el Decreto Ejecutivo Nro. 1017, de 16 de marzo de 2020. Art. 2.- El Ministerio de Salud Pública contratará a través del Coordinador General Administrativo Financiero de manera directa o a través de invitaciones, las obras, bienes fungibles y no fungibles, o servicios que requieran de manera estricta para superar y controlar los efectos producidos por el COVID 19 a nivel nacional. Podrá inclusive contratar empresas extrajeras sin requerir los requisitos previos de domicilio ni de presentación de garantías; los cuales se cumplirán una vez suscrito el respectivo contrato. (…) Art. 5.- Una vez superada la situación de emergencia, la Dirección Nacional de Contratación Pública, publicará en el Portal de COMPRASPUBLICAS del Servicio Nacional de Contratación Pública, un informe que detalle las contrataciones realizadas y el presupuesto empleado, con la indicación de los resultados obtenidos. Art. 6 En uso de las competencias orgánicas dispuestas en el Estatuto por Procesos de este Portafolio de Estado, dispóngase a la Dirección Nacional de Contratación Pública, la publicación en el Portal de Compras Públicas de la presente resolución y el asesoramiento dentro de las contrataciones a ser realizadas en el Ministerio de Salud Pública. (…).</w:t>
      </w:r>
      <w:r w:rsidRPr="00AB1FE2">
        <w:rPr>
          <w:rFonts w:ascii="Cambria" w:hAnsi="Cambria" w:cs="Arial"/>
          <w:color w:val="000000"/>
          <w:sz w:val="24"/>
          <w:szCs w:val="24"/>
        </w:rPr>
        <w:t>”</w:t>
      </w:r>
    </w:p>
    <w:p w:rsidR="00E83093" w:rsidRPr="00AB1FE2" w:rsidRDefault="00E83093" w:rsidP="00E83093">
      <w:pPr>
        <w:tabs>
          <w:tab w:val="left" w:pos="4710"/>
        </w:tabs>
        <w:spacing w:line="276" w:lineRule="auto"/>
        <w:jc w:val="both"/>
        <w:rPr>
          <w:rFonts w:ascii="Cambria" w:hAnsi="Cambria" w:cs="Arial"/>
          <w:i/>
          <w:color w:val="000000"/>
          <w:sz w:val="24"/>
          <w:szCs w:val="24"/>
        </w:rPr>
      </w:pPr>
    </w:p>
    <w:p w:rsidR="00E83093" w:rsidRPr="00AB1FE2" w:rsidRDefault="00E83093" w:rsidP="00E83093">
      <w:pPr>
        <w:tabs>
          <w:tab w:val="left" w:pos="4710"/>
        </w:tabs>
        <w:spacing w:line="276" w:lineRule="auto"/>
        <w:jc w:val="both"/>
        <w:rPr>
          <w:rFonts w:ascii="Cambria" w:hAnsi="Cambria" w:cs="Arial"/>
          <w:color w:val="000000"/>
          <w:sz w:val="24"/>
          <w:szCs w:val="24"/>
        </w:rPr>
      </w:pPr>
      <w:r w:rsidRPr="00AB1FE2">
        <w:rPr>
          <w:rFonts w:ascii="Cambria" w:hAnsi="Cambria" w:cs="Arial"/>
          <w:color w:val="000000"/>
          <w:sz w:val="24"/>
          <w:szCs w:val="24"/>
        </w:rPr>
        <w:t>A través de documento denominado: “</w:t>
      </w:r>
      <w:r w:rsidRPr="00AB1FE2">
        <w:rPr>
          <w:rFonts w:ascii="Cambria" w:hAnsi="Cambria" w:cs="Arial"/>
          <w:b/>
          <w:i/>
          <w:color w:val="000000"/>
          <w:sz w:val="24"/>
          <w:szCs w:val="24"/>
        </w:rPr>
        <w:t xml:space="preserve">CONSTANCIA DE PUBLICACIÓN DE EMERGENCIA 2020”, </w:t>
      </w:r>
      <w:r w:rsidRPr="00AB1FE2">
        <w:rPr>
          <w:rFonts w:ascii="Cambria" w:hAnsi="Cambria" w:cs="Arial"/>
          <w:color w:val="000000"/>
          <w:sz w:val="24"/>
          <w:szCs w:val="24"/>
        </w:rPr>
        <w:t xml:space="preserve">de 18 de marzo de 2020, la Ing. Paulina </w:t>
      </w:r>
      <w:proofErr w:type="spellStart"/>
      <w:r w:rsidRPr="00AB1FE2">
        <w:rPr>
          <w:rFonts w:ascii="Cambria" w:hAnsi="Cambria" w:cs="Arial"/>
          <w:color w:val="000000"/>
          <w:sz w:val="24"/>
          <w:szCs w:val="24"/>
        </w:rPr>
        <w:t>Recalde</w:t>
      </w:r>
      <w:proofErr w:type="spellEnd"/>
      <w:r w:rsidRPr="00AB1FE2">
        <w:rPr>
          <w:rFonts w:ascii="Cambria" w:hAnsi="Cambria" w:cs="Arial"/>
          <w:color w:val="000000"/>
          <w:sz w:val="24"/>
          <w:szCs w:val="24"/>
        </w:rPr>
        <w:t xml:space="preserve"> deja constancia de la Publicación de la Resolución motivada de Declaratoria de Emergencia Nro. 0026-2020, en el Sistema Oficial de Contratación Pública.</w:t>
      </w:r>
    </w:p>
    <w:p w:rsidR="00E83093" w:rsidRPr="00AB1FE2" w:rsidRDefault="00E83093" w:rsidP="00E83093">
      <w:pPr>
        <w:pStyle w:val="Ttulo11"/>
        <w:tabs>
          <w:tab w:val="left" w:pos="1022"/>
        </w:tabs>
        <w:spacing w:before="0"/>
        <w:ind w:left="0" w:firstLine="0"/>
        <w:rPr>
          <w:rFonts w:ascii="Cambria" w:hAnsi="Cambria"/>
          <w:sz w:val="24"/>
          <w:szCs w:val="24"/>
          <w:u w:val="none"/>
        </w:rPr>
      </w:pPr>
    </w:p>
    <w:p w:rsidR="00E83093" w:rsidRPr="00AB1FE2" w:rsidRDefault="00E83093" w:rsidP="00E83093">
      <w:pPr>
        <w:pStyle w:val="Textoindependiente"/>
        <w:ind w:left="0" w:right="702"/>
        <w:jc w:val="both"/>
        <w:rPr>
          <w:rFonts w:ascii="Cambria" w:hAnsi="Cambria"/>
          <w:sz w:val="24"/>
          <w:szCs w:val="24"/>
        </w:rPr>
      </w:pPr>
      <w:r w:rsidRPr="00AB1FE2">
        <w:rPr>
          <w:rFonts w:ascii="Cambria" w:hAnsi="Cambria"/>
          <w:b/>
          <w:bCs/>
          <w:color w:val="000000"/>
          <w:sz w:val="24"/>
          <w:szCs w:val="24"/>
        </w:rPr>
        <w:t>1.1. Base legal</w:t>
      </w:r>
    </w:p>
    <w:p w:rsidR="00E83093" w:rsidRPr="00AB1FE2" w:rsidRDefault="00E83093" w:rsidP="00E83093">
      <w:pPr>
        <w:pStyle w:val="Ttulo2"/>
        <w:keepLines/>
        <w:numPr>
          <w:ilvl w:val="1"/>
          <w:numId w:val="7"/>
        </w:numPr>
        <w:suppressAutoHyphens w:val="0"/>
        <w:spacing w:before="40" w:after="0" w:line="276" w:lineRule="auto"/>
        <w:ind w:left="720"/>
        <w:rPr>
          <w:rFonts w:ascii="Cambria" w:hAnsi="Cambria" w:cs="Arial"/>
          <w:b/>
          <w:color w:val="000000"/>
          <w:sz w:val="24"/>
          <w:szCs w:val="24"/>
          <w:lang w:val="es-ES"/>
        </w:rPr>
      </w:pPr>
      <w:bookmarkStart w:id="0" w:name="_Toc35534159"/>
      <w:r w:rsidRPr="00AB1FE2">
        <w:rPr>
          <w:rFonts w:ascii="Cambria" w:hAnsi="Cambria" w:cs="Arial"/>
          <w:b/>
          <w:color w:val="000000"/>
          <w:sz w:val="24"/>
          <w:szCs w:val="24"/>
          <w:lang w:val="es-ES"/>
        </w:rPr>
        <w:t>CONSTITUCIÓN DE LA REPÚBLICA DEL ECUADOR.</w:t>
      </w:r>
      <w:bookmarkEnd w:id="0"/>
    </w:p>
    <w:p w:rsidR="00E83093" w:rsidRPr="00AB1FE2" w:rsidRDefault="00E83093" w:rsidP="00E83093">
      <w:pPr>
        <w:spacing w:line="276" w:lineRule="auto"/>
        <w:jc w:val="both"/>
        <w:rPr>
          <w:rStyle w:val="nrmar"/>
          <w:rFonts w:ascii="Cambria" w:hAnsi="Cambria" w:cs="Arial"/>
          <w:b/>
          <w:bCs/>
          <w:i/>
          <w:color w:val="000000"/>
          <w:sz w:val="24"/>
          <w:szCs w:val="24"/>
          <w:shd w:val="clear" w:color="auto" w:fill="FFFFFF"/>
        </w:rPr>
      </w:pP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i/>
          <w:color w:val="000000"/>
          <w:sz w:val="24"/>
          <w:szCs w:val="24"/>
        </w:rPr>
        <w:t>“</w:t>
      </w:r>
      <w:r w:rsidRPr="00AB1FE2">
        <w:rPr>
          <w:rFonts w:ascii="Cambria" w:hAnsi="Cambria" w:cs="Arial"/>
          <w:b/>
          <w:i/>
          <w:color w:val="000000"/>
          <w:sz w:val="24"/>
          <w:szCs w:val="24"/>
        </w:rPr>
        <w:t>Art.</w:t>
      </w:r>
      <w:r w:rsidRPr="00AB1FE2">
        <w:rPr>
          <w:rFonts w:ascii="Cambria" w:hAnsi="Cambria" w:cs="Arial"/>
          <w:b/>
          <w:color w:val="000000"/>
          <w:sz w:val="24"/>
          <w:szCs w:val="24"/>
          <w:lang w:eastAsia="es-EC"/>
        </w:rPr>
        <w:t xml:space="preserve"> 3.- </w:t>
      </w:r>
      <w:r w:rsidRPr="00AB1FE2">
        <w:rPr>
          <w:rFonts w:ascii="Cambria" w:hAnsi="Cambria" w:cs="Arial"/>
          <w:i/>
          <w:iCs/>
          <w:color w:val="000000"/>
          <w:sz w:val="24"/>
          <w:szCs w:val="24"/>
          <w:lang w:eastAsia="es-EC"/>
        </w:rPr>
        <w:t>Son deberes primordiales del Estado:</w:t>
      </w:r>
      <w:r w:rsidRPr="00AB1FE2">
        <w:rPr>
          <w:rFonts w:ascii="Cambria" w:hAnsi="Cambria" w:cs="Arial"/>
          <w:b/>
          <w:bCs/>
          <w:i/>
          <w:iCs/>
          <w:color w:val="000000"/>
          <w:sz w:val="24"/>
          <w:szCs w:val="24"/>
          <w:lang w:eastAsia="es-EC"/>
        </w:rPr>
        <w:t xml:space="preserve"> </w:t>
      </w:r>
      <w:r w:rsidRPr="00AB1FE2">
        <w:rPr>
          <w:rFonts w:ascii="Cambria" w:hAnsi="Cambria" w:cs="Arial"/>
          <w:i/>
          <w:iCs/>
          <w:color w:val="000000"/>
          <w:sz w:val="24"/>
          <w:szCs w:val="24"/>
          <w:lang w:eastAsia="es-EC"/>
        </w:rPr>
        <w:t>1. Garantizar sin discriminación alguna el efectivo goce de los derechos establecidos en la Constitución y en los instrumentos internacionales, en particular la educación, la salud, la alimentación, la seguridad social y el agua para sus habitantes”.</w:t>
      </w:r>
    </w:p>
    <w:p w:rsidR="00E83093" w:rsidRPr="00AB1FE2" w:rsidRDefault="00E83093" w:rsidP="00E83093">
      <w:pPr>
        <w:spacing w:line="276" w:lineRule="auto"/>
        <w:jc w:val="both"/>
        <w:rPr>
          <w:rStyle w:val="nrmar"/>
          <w:rFonts w:ascii="Cambria" w:hAnsi="Cambria" w:cs="Arial"/>
          <w:b/>
          <w:bCs/>
          <w:i/>
          <w:color w:val="000000"/>
          <w:sz w:val="24"/>
          <w:szCs w:val="24"/>
          <w:shd w:val="clear" w:color="auto" w:fill="FFFFFF"/>
        </w:rPr>
      </w:pPr>
    </w:p>
    <w:p w:rsidR="00E83093" w:rsidRPr="00AB1FE2" w:rsidRDefault="00E83093" w:rsidP="00E83093">
      <w:pPr>
        <w:spacing w:line="276" w:lineRule="auto"/>
        <w:jc w:val="both"/>
        <w:rPr>
          <w:rFonts w:ascii="Cambria" w:hAnsi="Cambria" w:cs="Arial"/>
          <w:i/>
          <w:color w:val="000000"/>
          <w:sz w:val="24"/>
          <w:szCs w:val="24"/>
          <w:shd w:val="clear" w:color="auto" w:fill="FFFFFF"/>
        </w:rPr>
      </w:pPr>
      <w:r w:rsidRPr="00AB1FE2">
        <w:rPr>
          <w:rStyle w:val="nrmar"/>
          <w:rFonts w:ascii="Cambria" w:hAnsi="Cambria" w:cs="Arial"/>
          <w:b/>
          <w:bCs/>
          <w:i/>
          <w:color w:val="000000"/>
          <w:sz w:val="24"/>
          <w:szCs w:val="24"/>
          <w:shd w:val="clear" w:color="auto" w:fill="FFFFFF"/>
        </w:rPr>
        <w:lastRenderedPageBreak/>
        <w:t>Art. 32</w:t>
      </w:r>
      <w:r w:rsidRPr="00AB1FE2">
        <w:rPr>
          <w:rFonts w:ascii="Cambria" w:hAnsi="Cambria" w:cs="Arial"/>
          <w:i/>
          <w:color w:val="000000"/>
          <w:sz w:val="24"/>
          <w:szCs w:val="24"/>
          <w:shd w:val="clear" w:color="auto" w:fill="FFFFFF"/>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r w:rsidRPr="00AB1FE2">
        <w:rPr>
          <w:rFonts w:ascii="Cambria" w:hAnsi="Cambria" w:cs="Arial"/>
          <w:i/>
          <w:color w:val="000000"/>
          <w:sz w:val="24"/>
          <w:szCs w:val="24"/>
        </w:rPr>
        <w:br/>
      </w:r>
      <w:r w:rsidRPr="00AB1FE2">
        <w:rPr>
          <w:rFonts w:ascii="Cambria" w:hAnsi="Cambria" w:cs="Arial"/>
          <w:i/>
          <w:color w:val="000000"/>
          <w:sz w:val="24"/>
          <w:szCs w:val="24"/>
        </w:rPr>
        <w:br/>
      </w:r>
      <w:r w:rsidRPr="00AB1FE2">
        <w:rPr>
          <w:rFonts w:ascii="Cambria" w:hAnsi="Cambria" w:cs="Arial"/>
          <w:i/>
          <w:color w:val="000000"/>
          <w:sz w:val="24"/>
          <w:szCs w:val="24"/>
          <w:shd w:val="clear" w:color="auto" w:fill="FFFFFF"/>
        </w:rPr>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rsidR="00E83093" w:rsidRPr="00AB1FE2" w:rsidRDefault="00E83093" w:rsidP="00E83093">
      <w:pPr>
        <w:shd w:val="clear" w:color="auto" w:fill="FDFDFD"/>
        <w:spacing w:line="276" w:lineRule="auto"/>
        <w:jc w:val="both"/>
        <w:rPr>
          <w:rFonts w:ascii="Cambria" w:hAnsi="Cambria" w:cs="Arial"/>
          <w:i/>
          <w:color w:val="000000"/>
          <w:sz w:val="24"/>
          <w:szCs w:val="24"/>
          <w:shd w:val="clear" w:color="auto" w:fill="FFFFFF"/>
        </w:rPr>
      </w:pPr>
    </w:p>
    <w:p w:rsidR="00E83093" w:rsidRPr="00AB1FE2" w:rsidRDefault="00E83093" w:rsidP="00E83093">
      <w:pPr>
        <w:shd w:val="clear" w:color="auto" w:fill="FDFDFD"/>
        <w:spacing w:line="276" w:lineRule="auto"/>
        <w:jc w:val="both"/>
        <w:rPr>
          <w:rFonts w:ascii="Cambria" w:hAnsi="Cambria" w:cs="Arial"/>
          <w:i/>
          <w:iCs/>
          <w:color w:val="000000"/>
          <w:sz w:val="24"/>
          <w:szCs w:val="24"/>
          <w:lang w:eastAsia="es-EC"/>
        </w:rPr>
      </w:pPr>
      <w:r w:rsidRPr="00AB1FE2">
        <w:rPr>
          <w:rFonts w:ascii="Cambria" w:hAnsi="Cambria" w:cs="Arial"/>
          <w:b/>
          <w:color w:val="000000"/>
          <w:sz w:val="24"/>
          <w:szCs w:val="24"/>
          <w:lang w:eastAsia="es-EC"/>
        </w:rPr>
        <w:t>Art. 226</w:t>
      </w:r>
      <w:r w:rsidRPr="00AB1FE2">
        <w:rPr>
          <w:rFonts w:ascii="Cambria" w:hAnsi="Cambria" w:cs="Arial"/>
          <w:color w:val="000000"/>
          <w:sz w:val="24"/>
          <w:szCs w:val="24"/>
          <w:lang w:eastAsia="es-EC"/>
        </w:rPr>
        <w:t>.-</w:t>
      </w:r>
      <w:r w:rsidRPr="00AB1FE2">
        <w:rPr>
          <w:rFonts w:ascii="Cambria" w:hAnsi="Cambria" w:cs="Arial"/>
          <w:i/>
          <w:iCs/>
          <w:color w:val="000000"/>
          <w:sz w:val="24"/>
          <w:szCs w:val="24"/>
          <w:lang w:eastAsia="es-EC"/>
        </w:rPr>
        <w:t>Las instituciones del Estado, sus organismos, dependencias, las servidoras o servidores públicos y las personas que actúen en virtud de una potestad estatal ejercerán solamente las competencias y facultades que les sean atribuidas en la Constitución y la ley. (…).</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p>
    <w:p w:rsidR="00E83093" w:rsidRPr="00AB1FE2" w:rsidRDefault="00E83093" w:rsidP="00E83093">
      <w:pPr>
        <w:shd w:val="clear" w:color="auto" w:fill="FDFDFD"/>
        <w:spacing w:line="276" w:lineRule="auto"/>
        <w:jc w:val="both"/>
        <w:rPr>
          <w:rFonts w:ascii="Cambria" w:hAnsi="Cambria" w:cs="Arial"/>
          <w:i/>
          <w:iCs/>
          <w:color w:val="000000"/>
          <w:sz w:val="24"/>
          <w:szCs w:val="24"/>
          <w:shd w:val="clear" w:color="auto" w:fill="FFFFFF"/>
          <w:lang w:eastAsia="es-EC"/>
        </w:rPr>
      </w:pPr>
      <w:r w:rsidRPr="00AB1FE2">
        <w:rPr>
          <w:rFonts w:ascii="Cambria" w:hAnsi="Cambria" w:cs="Arial"/>
          <w:b/>
          <w:i/>
          <w:color w:val="000000"/>
          <w:sz w:val="24"/>
          <w:szCs w:val="24"/>
          <w:lang w:eastAsia="es-EC"/>
        </w:rPr>
        <w:t>Art.</w:t>
      </w:r>
      <w:r w:rsidRPr="00AB1FE2">
        <w:rPr>
          <w:rFonts w:ascii="Cambria" w:hAnsi="Cambria" w:cs="Arial"/>
          <w:b/>
          <w:i/>
          <w:color w:val="000000"/>
          <w:sz w:val="24"/>
          <w:szCs w:val="24"/>
          <w:shd w:val="clear" w:color="auto" w:fill="FFFFFF"/>
          <w:lang w:eastAsia="es-EC"/>
        </w:rPr>
        <w:t xml:space="preserve">227.- </w:t>
      </w:r>
      <w:r w:rsidRPr="00AB1FE2">
        <w:rPr>
          <w:rFonts w:ascii="Cambria" w:hAnsi="Cambria" w:cs="Arial"/>
          <w:i/>
          <w:iCs/>
          <w:color w:val="000000"/>
          <w:sz w:val="24"/>
          <w:szCs w:val="24"/>
          <w:shd w:val="clear" w:color="auto" w:fill="FFFFFF"/>
          <w:lang w:eastAsia="es-EC"/>
        </w:rPr>
        <w:t>La administración pública constituye un servicio a la colectividad que se rige por los principios de eficacia, eficiencia, calidad, jerarquía, desconcentración, descentralización, coordinación, participación, planificación, transparencia y evaluación.</w:t>
      </w:r>
    </w:p>
    <w:p w:rsidR="00E83093" w:rsidRPr="00AB1FE2" w:rsidRDefault="00E83093" w:rsidP="00E83093">
      <w:pPr>
        <w:shd w:val="clear" w:color="auto" w:fill="FDFDFD"/>
        <w:spacing w:line="276" w:lineRule="auto"/>
        <w:jc w:val="both"/>
        <w:rPr>
          <w:rFonts w:ascii="Cambria" w:hAnsi="Cambria" w:cs="Arial"/>
          <w:i/>
          <w:color w:val="000000"/>
          <w:sz w:val="24"/>
          <w:szCs w:val="24"/>
          <w:lang w:eastAsia="es-EC"/>
        </w:rPr>
      </w:pPr>
    </w:p>
    <w:p w:rsidR="00E83093" w:rsidRPr="00AB1FE2" w:rsidRDefault="00E83093" w:rsidP="00E83093">
      <w:pPr>
        <w:shd w:val="clear" w:color="auto" w:fill="FDFDFD"/>
        <w:spacing w:line="276" w:lineRule="auto"/>
        <w:jc w:val="both"/>
        <w:rPr>
          <w:rFonts w:ascii="Cambria" w:hAnsi="Cambria" w:cs="Arial"/>
          <w:i/>
          <w:iCs/>
          <w:color w:val="000000"/>
          <w:sz w:val="24"/>
          <w:szCs w:val="24"/>
          <w:lang w:eastAsia="es-EC"/>
        </w:rPr>
      </w:pPr>
      <w:r w:rsidRPr="00AB1FE2">
        <w:rPr>
          <w:rFonts w:ascii="Cambria" w:hAnsi="Cambria" w:cs="Arial"/>
          <w:b/>
          <w:i/>
          <w:color w:val="000000"/>
          <w:sz w:val="24"/>
          <w:szCs w:val="24"/>
          <w:lang w:eastAsia="es-EC"/>
        </w:rPr>
        <w:t>Art. 288.-</w:t>
      </w:r>
      <w:r w:rsidRPr="00AB1FE2">
        <w:rPr>
          <w:rFonts w:ascii="Cambria" w:hAnsi="Cambria" w:cs="Arial"/>
          <w:i/>
          <w:color w:val="000000"/>
          <w:sz w:val="24"/>
          <w:szCs w:val="24"/>
          <w:lang w:eastAsia="es-EC"/>
        </w:rPr>
        <w:t xml:space="preserve"> </w:t>
      </w:r>
      <w:r w:rsidRPr="00AB1FE2">
        <w:rPr>
          <w:rFonts w:ascii="Cambria" w:hAnsi="Cambria" w:cs="Arial"/>
          <w:i/>
          <w:iCs/>
          <w:color w:val="000000"/>
          <w:sz w:val="24"/>
          <w:szCs w:val="24"/>
          <w:lang w:eastAsia="es-EC"/>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rsidR="00E83093" w:rsidRPr="00AB1FE2" w:rsidRDefault="00E83093" w:rsidP="00E83093">
      <w:pPr>
        <w:shd w:val="clear" w:color="auto" w:fill="FDFDFD"/>
        <w:spacing w:line="276" w:lineRule="auto"/>
        <w:jc w:val="both"/>
        <w:rPr>
          <w:rFonts w:ascii="Cambria" w:hAnsi="Cambria" w:cs="Arial"/>
          <w:i/>
          <w:color w:val="000000"/>
          <w:sz w:val="24"/>
          <w:szCs w:val="24"/>
          <w:lang w:eastAsia="es-EC"/>
        </w:rPr>
      </w:pP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389.-</w:t>
      </w:r>
      <w:r w:rsidRPr="00AB1FE2">
        <w:rPr>
          <w:rFonts w:ascii="Cambria" w:hAnsi="Cambria" w:cs="Arial"/>
          <w:color w:val="000000"/>
          <w:sz w:val="24"/>
          <w:szCs w:val="24"/>
          <w:lang w:eastAsia="es-EC"/>
        </w:rPr>
        <w:t xml:space="preserve"> </w:t>
      </w:r>
      <w:r w:rsidRPr="00AB1FE2">
        <w:rPr>
          <w:rFonts w:ascii="Cambria" w:hAnsi="Cambria" w:cs="Arial"/>
          <w:i/>
          <w:iCs/>
          <w:color w:val="000000"/>
          <w:sz w:val="24"/>
          <w:szCs w:val="24"/>
          <w:lang w:eastAsia="es-EC"/>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rsidR="00E83093" w:rsidRPr="00AB1FE2" w:rsidRDefault="00E83093" w:rsidP="00E83093">
      <w:pPr>
        <w:pStyle w:val="Textoindependiente"/>
        <w:ind w:left="340" w:hanging="340"/>
        <w:jc w:val="both"/>
        <w:rPr>
          <w:rFonts w:ascii="Cambria" w:hAnsi="Cambria"/>
          <w:sz w:val="24"/>
          <w:szCs w:val="24"/>
        </w:rPr>
      </w:pPr>
    </w:p>
    <w:p w:rsidR="00E83093" w:rsidRPr="00AB1FE2" w:rsidRDefault="00E83093" w:rsidP="00E83093">
      <w:pPr>
        <w:pStyle w:val="Textoindependiente"/>
        <w:numPr>
          <w:ilvl w:val="1"/>
          <w:numId w:val="7"/>
        </w:numPr>
        <w:ind w:left="720"/>
        <w:jc w:val="both"/>
        <w:rPr>
          <w:rFonts w:ascii="Cambria" w:hAnsi="Cambria"/>
          <w:b/>
          <w:sz w:val="24"/>
          <w:szCs w:val="24"/>
        </w:rPr>
      </w:pPr>
      <w:r w:rsidRPr="00AB1FE2">
        <w:rPr>
          <w:rFonts w:ascii="Cambria" w:hAnsi="Cambria"/>
          <w:b/>
          <w:bCs/>
          <w:color w:val="000000"/>
          <w:sz w:val="24"/>
          <w:szCs w:val="24"/>
        </w:rPr>
        <w:t>LEY ORGÁNICA DE LA SALUD.</w:t>
      </w:r>
    </w:p>
    <w:p w:rsidR="00E83093" w:rsidRPr="00AB1FE2" w:rsidRDefault="00E83093" w:rsidP="00E83093">
      <w:pPr>
        <w:pStyle w:val="Textoindependiente"/>
        <w:ind w:left="0" w:right="702"/>
        <w:jc w:val="both"/>
        <w:rPr>
          <w:rFonts w:ascii="Cambria" w:hAnsi="Cambria"/>
          <w:color w:val="000000"/>
          <w:sz w:val="24"/>
          <w:szCs w:val="24"/>
        </w:rPr>
      </w:pP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4</w:t>
      </w:r>
      <w:r w:rsidRPr="00AB1FE2">
        <w:rPr>
          <w:rFonts w:ascii="Cambria" w:hAnsi="Cambria" w:cs="Arial"/>
          <w:i/>
          <w:iCs/>
          <w:color w:val="000000"/>
          <w:sz w:val="24"/>
          <w:szCs w:val="24"/>
          <w:lang w:eastAsia="es-EC"/>
        </w:rPr>
        <w:t>.- La autoridad sanitaria nacional es el Ministerio de Salud Pública, entidad a la que corresponde el ejercicio de las funciones de rectoría en salud; así como la responsabilidad de la aplicación, control y vigilancia (…).</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t> </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7.-</w:t>
      </w:r>
      <w:r w:rsidRPr="00AB1FE2">
        <w:rPr>
          <w:rFonts w:ascii="Cambria" w:hAnsi="Cambria" w:cs="Arial"/>
          <w:i/>
          <w:iCs/>
          <w:color w:val="000000"/>
          <w:sz w:val="24"/>
          <w:szCs w:val="24"/>
          <w:lang w:eastAsia="es-EC"/>
        </w:rPr>
        <w:t>Toda persona, sin discriminación por motivo alguno, tiene en relación a la salud, los siguientes derechos: a) Acceso universal, equitativo, permanente, oportuno y de calidad a todas las acciones y servicios de salud.”</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t>La letra d) del artículo 9 de la norma citada manifiesta:</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color w:val="000000"/>
          <w:sz w:val="24"/>
          <w:szCs w:val="24"/>
          <w:lang w:eastAsia="es-EC"/>
        </w:rPr>
        <w:lastRenderedPageBreak/>
        <w:t> </w:t>
      </w:r>
      <w:r w:rsidRPr="00AB1FE2">
        <w:rPr>
          <w:rFonts w:ascii="Cambria" w:hAnsi="Cambria" w:cs="Arial"/>
          <w:i/>
          <w:iCs/>
          <w:color w:val="000000"/>
          <w:sz w:val="24"/>
          <w:szCs w:val="24"/>
          <w:lang w:eastAsia="es-EC"/>
        </w:rPr>
        <w:t>“Corresponde al Estado garantizar el derecho a la salud de las personas, para lo cual tiene, entre otras, las siguientes responsabilidades: “(…) d) Adoptar las medidas necesarias para garantizar en caso de emergencia sanitaria, el acceso y disponibilidad de insumos y medicamentos necesarios para afrontarla, haciendo uso de los mecanismos previstos en los convenios y tratados internacionales y la legislación vigente</w:t>
      </w:r>
      <w:r w:rsidRPr="00AB1FE2">
        <w:rPr>
          <w:rFonts w:ascii="Cambria" w:hAnsi="Cambria" w:cs="Arial"/>
          <w:color w:val="000000"/>
          <w:sz w:val="24"/>
          <w:szCs w:val="24"/>
          <w:lang w:eastAsia="es-EC"/>
        </w:rPr>
        <w:t>.</w:t>
      </w: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p>
    <w:p w:rsidR="00E83093" w:rsidRPr="00AB1FE2" w:rsidRDefault="00E83093" w:rsidP="00E83093">
      <w:pPr>
        <w:shd w:val="clear" w:color="auto" w:fill="FDFDFD"/>
        <w:spacing w:line="276" w:lineRule="auto"/>
        <w:jc w:val="both"/>
        <w:rPr>
          <w:rFonts w:ascii="Cambria" w:hAnsi="Cambria" w:cs="Arial"/>
          <w:color w:val="000000"/>
          <w:sz w:val="24"/>
          <w:szCs w:val="24"/>
          <w:lang w:eastAsia="es-EC"/>
        </w:rPr>
      </w:pPr>
      <w:r w:rsidRPr="00AB1FE2">
        <w:rPr>
          <w:rFonts w:ascii="Cambria" w:hAnsi="Cambria" w:cs="Arial"/>
          <w:b/>
          <w:color w:val="000000"/>
          <w:sz w:val="24"/>
          <w:szCs w:val="24"/>
          <w:lang w:eastAsia="es-EC"/>
        </w:rPr>
        <w:t>Art. 154</w:t>
      </w:r>
      <w:r w:rsidRPr="00AB1FE2">
        <w:rPr>
          <w:rFonts w:ascii="Cambria" w:hAnsi="Cambria" w:cs="Arial"/>
          <w:color w:val="000000"/>
          <w:sz w:val="24"/>
          <w:szCs w:val="24"/>
          <w:lang w:eastAsia="es-EC"/>
        </w:rPr>
        <w:t>.-</w:t>
      </w:r>
      <w:r w:rsidRPr="00AB1FE2">
        <w:rPr>
          <w:rFonts w:ascii="Cambria" w:hAnsi="Cambria" w:cs="Arial"/>
          <w:i/>
          <w:iCs/>
          <w:color w:val="000000"/>
          <w:sz w:val="24"/>
          <w:szCs w:val="24"/>
          <w:lang w:eastAsia="es-EC"/>
        </w:rPr>
        <w:t>El Estado garantizará el acceso y disponibilidad de medicamentos de calidad y su uso racional, priorizando los intereses de la salud pública sobre los económicos y comerciales.</w:t>
      </w:r>
    </w:p>
    <w:p w:rsidR="00E83093" w:rsidRPr="00AB1FE2" w:rsidRDefault="00E83093" w:rsidP="00E83093">
      <w:pPr>
        <w:suppressAutoHyphens w:val="0"/>
        <w:autoSpaceDE w:val="0"/>
        <w:autoSpaceDN w:val="0"/>
        <w:adjustRightInd w:val="0"/>
        <w:rPr>
          <w:rFonts w:ascii="Cambria" w:hAnsi="Cambria" w:cs="Arial"/>
          <w:b/>
          <w:bCs/>
          <w:color w:val="000000"/>
          <w:sz w:val="24"/>
          <w:szCs w:val="24"/>
        </w:rPr>
      </w:pPr>
    </w:p>
    <w:p w:rsidR="00E83093" w:rsidRPr="00AB1FE2" w:rsidRDefault="00E83093" w:rsidP="00E83093">
      <w:pPr>
        <w:suppressAutoHyphens w:val="0"/>
        <w:autoSpaceDE w:val="0"/>
        <w:autoSpaceDN w:val="0"/>
        <w:adjustRightInd w:val="0"/>
        <w:jc w:val="both"/>
        <w:rPr>
          <w:rFonts w:ascii="Cambria" w:hAnsi="Cambria" w:cs="Arial"/>
          <w:i/>
          <w:color w:val="000000"/>
          <w:sz w:val="24"/>
          <w:szCs w:val="24"/>
          <w:shd w:val="clear" w:color="auto" w:fill="FFFFFF"/>
        </w:rPr>
      </w:pPr>
      <w:r w:rsidRPr="00AB1FE2">
        <w:rPr>
          <w:rFonts w:ascii="Cambria" w:hAnsi="Cambria" w:cs="Arial"/>
          <w:b/>
          <w:bCs/>
          <w:color w:val="000000"/>
          <w:sz w:val="24"/>
          <w:szCs w:val="24"/>
        </w:rPr>
        <w:t xml:space="preserve">Art. </w:t>
      </w:r>
      <w:r w:rsidRPr="00AB1FE2">
        <w:rPr>
          <w:rFonts w:ascii="Cambria" w:hAnsi="Cambria" w:cs="Arial"/>
          <w:b/>
          <w:sz w:val="24"/>
          <w:szCs w:val="24"/>
          <w:lang w:eastAsia="es-EC"/>
        </w:rPr>
        <w:t>259.-</w:t>
      </w:r>
      <w:r w:rsidRPr="00AB1FE2">
        <w:rPr>
          <w:rFonts w:ascii="Cambria" w:hAnsi="Cambria" w:cs="Arial"/>
          <w:sz w:val="24"/>
          <w:szCs w:val="24"/>
          <w:lang w:eastAsia="es-EC"/>
        </w:rPr>
        <w:t xml:space="preserve"> </w:t>
      </w:r>
      <w:r w:rsidRPr="00AB1FE2">
        <w:rPr>
          <w:rFonts w:ascii="Cambria" w:hAnsi="Cambria" w:cs="Arial"/>
          <w:i/>
          <w:sz w:val="24"/>
          <w:szCs w:val="24"/>
          <w:lang w:eastAsia="es-EC"/>
        </w:rPr>
        <w:t xml:space="preserve">“(…) </w:t>
      </w:r>
      <w:r w:rsidRPr="00AB1FE2">
        <w:rPr>
          <w:rFonts w:ascii="Cambria" w:hAnsi="Cambria" w:cs="Arial"/>
          <w:i/>
          <w:color w:val="000000"/>
          <w:sz w:val="24"/>
          <w:szCs w:val="24"/>
          <w:shd w:val="clear" w:color="auto" w:fill="FFFFFF"/>
        </w:rPr>
        <w:t>Emergencia sanitaria. - Es toda situación de riesgo de afección de la </w:t>
      </w:r>
      <w:r w:rsidRPr="00AB1FE2">
        <w:rPr>
          <w:rFonts w:ascii="Cambria" w:hAnsi="Cambria" w:cs="Arial"/>
          <w:sz w:val="24"/>
          <w:szCs w:val="24"/>
          <w:shd w:val="clear" w:color="auto" w:fill="FFFFFF"/>
        </w:rPr>
        <w:t>salud</w:t>
      </w:r>
      <w:r w:rsidRPr="00AB1FE2">
        <w:rPr>
          <w:rFonts w:ascii="Cambria" w:hAnsi="Cambria" w:cs="Arial"/>
          <w:i/>
          <w:color w:val="000000"/>
          <w:sz w:val="24"/>
          <w:szCs w:val="24"/>
          <w:shd w:val="clear" w:color="auto" w:fill="FFFFFF"/>
        </w:rPr>
        <w:t> originada por desastres naturales o por acción de las personas, fenómenos climáticos, ausencia o precariedad de condiciones de saneamiento básico que favorecen el incremento de enfermedades transmisibles. Requiere la intervención especial del Estado con movilización de recursos humanos, financieros u otros, destinados a reducir el riesgo o mitigar el impacto en la </w:t>
      </w:r>
      <w:r w:rsidRPr="00AB1FE2">
        <w:rPr>
          <w:rFonts w:ascii="Cambria" w:hAnsi="Cambria" w:cs="Arial"/>
          <w:sz w:val="24"/>
          <w:szCs w:val="24"/>
          <w:shd w:val="clear" w:color="auto" w:fill="FFFFFF"/>
        </w:rPr>
        <w:t>salud</w:t>
      </w:r>
      <w:r w:rsidRPr="00AB1FE2">
        <w:rPr>
          <w:rFonts w:ascii="Cambria" w:hAnsi="Cambria" w:cs="Arial"/>
          <w:i/>
          <w:color w:val="000000"/>
          <w:sz w:val="24"/>
          <w:szCs w:val="24"/>
          <w:shd w:val="clear" w:color="auto" w:fill="FFFFFF"/>
        </w:rPr>
        <w:t> de las poblaciones más vulnerables.</w:t>
      </w:r>
      <w:r w:rsidRPr="00AB1FE2">
        <w:rPr>
          <w:rFonts w:ascii="Cambria" w:hAnsi="Cambria" w:cs="Arial"/>
          <w:i/>
          <w:color w:val="000000"/>
          <w:sz w:val="24"/>
          <w:szCs w:val="24"/>
        </w:rPr>
        <w:br/>
      </w:r>
      <w:r w:rsidRPr="00AB1FE2">
        <w:rPr>
          <w:rFonts w:ascii="Cambria" w:hAnsi="Cambria" w:cs="Arial"/>
          <w:i/>
          <w:color w:val="000000"/>
          <w:sz w:val="24"/>
          <w:szCs w:val="24"/>
        </w:rPr>
        <w:br/>
      </w:r>
      <w:r w:rsidRPr="00AB1FE2">
        <w:rPr>
          <w:rFonts w:ascii="Cambria" w:hAnsi="Cambria" w:cs="Arial"/>
          <w:i/>
          <w:color w:val="000000"/>
          <w:sz w:val="24"/>
          <w:szCs w:val="24"/>
          <w:shd w:val="clear" w:color="auto" w:fill="FFFFFF"/>
        </w:rPr>
        <w:t>La emergencia sanitaria deberá ser declarada por el Presidente de la República conforme lo manda la Constitución Política”.</w:t>
      </w:r>
    </w:p>
    <w:p w:rsidR="00E83093" w:rsidRPr="00AB1FE2" w:rsidRDefault="00E83093" w:rsidP="00E83093">
      <w:pPr>
        <w:suppressAutoHyphens w:val="0"/>
        <w:autoSpaceDE w:val="0"/>
        <w:autoSpaceDN w:val="0"/>
        <w:adjustRightInd w:val="0"/>
        <w:jc w:val="both"/>
        <w:rPr>
          <w:rFonts w:ascii="Cambria" w:hAnsi="Cambria" w:cs="Arial"/>
          <w:i/>
          <w:color w:val="000000"/>
          <w:sz w:val="24"/>
          <w:szCs w:val="24"/>
          <w:shd w:val="clear" w:color="auto" w:fill="FFFFFF"/>
        </w:rPr>
      </w:pPr>
    </w:p>
    <w:p w:rsidR="00E83093" w:rsidRPr="00AB1FE2" w:rsidRDefault="00E83093" w:rsidP="00E83093">
      <w:pPr>
        <w:pStyle w:val="Ttulo2"/>
        <w:keepLines/>
        <w:numPr>
          <w:ilvl w:val="1"/>
          <w:numId w:val="7"/>
        </w:numPr>
        <w:suppressAutoHyphens w:val="0"/>
        <w:spacing w:before="40" w:after="0" w:line="276" w:lineRule="auto"/>
        <w:ind w:left="720"/>
        <w:rPr>
          <w:rFonts w:ascii="Cambria" w:hAnsi="Cambria" w:cs="Arial"/>
          <w:b/>
          <w:color w:val="000000"/>
          <w:sz w:val="24"/>
          <w:szCs w:val="24"/>
          <w:lang w:val="es-ES"/>
        </w:rPr>
      </w:pPr>
      <w:bookmarkStart w:id="1" w:name="_Toc35534161"/>
      <w:r w:rsidRPr="00AB1FE2">
        <w:rPr>
          <w:rFonts w:ascii="Cambria" w:hAnsi="Cambria" w:cs="Arial"/>
          <w:b/>
          <w:color w:val="000000"/>
          <w:sz w:val="24"/>
          <w:szCs w:val="24"/>
          <w:lang w:val="es-ES"/>
        </w:rPr>
        <w:t>LEY ORGÁNICA DEL SISTEMA NACIONAL DE CONTRATACIÓN PÚBLICA.</w:t>
      </w:r>
      <w:bookmarkEnd w:id="1"/>
    </w:p>
    <w:p w:rsidR="00E83093" w:rsidRPr="00AB1FE2" w:rsidRDefault="00E83093" w:rsidP="00E83093">
      <w:pPr>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 </w:t>
      </w:r>
    </w:p>
    <w:p w:rsidR="00E83093" w:rsidRPr="00AB1FE2" w:rsidRDefault="00E83093" w:rsidP="00E83093">
      <w:pPr>
        <w:spacing w:line="276" w:lineRule="auto"/>
        <w:jc w:val="both"/>
        <w:rPr>
          <w:rFonts w:ascii="Cambria" w:hAnsi="Cambria" w:cs="Arial"/>
          <w:color w:val="000000"/>
          <w:sz w:val="24"/>
          <w:szCs w:val="24"/>
        </w:rPr>
      </w:pPr>
      <w:r w:rsidRPr="00AB1FE2">
        <w:rPr>
          <w:rFonts w:ascii="Cambria" w:hAnsi="Cambria" w:cs="Arial"/>
          <w:color w:val="000000"/>
          <w:sz w:val="24"/>
          <w:szCs w:val="24"/>
        </w:rPr>
        <w:t xml:space="preserve">El numeral 31 del artículo 6 define a las situaciones de emergencia como: </w:t>
      </w:r>
      <w:r w:rsidRPr="00AB1FE2">
        <w:rPr>
          <w:rFonts w:ascii="Cambria" w:hAnsi="Cambria" w:cs="Arial"/>
          <w:i/>
          <w:color w:val="000000"/>
          <w:sz w:val="24"/>
          <w:szCs w:val="24"/>
        </w:rPr>
        <w:t>“aquellas generadas por acontecimientos graves tales como accidentes, terremotos, inundaciones, sequías, grave conmoción interna, inminente agresión externa, guerra internacional, catástrofes naturales, y otras que provengan de fuerza mayor o caso fortuito, a nivel nacional, sectorial o institucional. Una situación de emergencia es concreta, inmediata, imprevista, probada y objetiva”</w:t>
      </w:r>
      <w:r w:rsidRPr="00AB1FE2">
        <w:rPr>
          <w:rFonts w:ascii="Cambria" w:hAnsi="Cambria" w:cs="Arial"/>
          <w:color w:val="000000"/>
          <w:sz w:val="24"/>
          <w:szCs w:val="24"/>
        </w:rPr>
        <w:t>;</w:t>
      </w:r>
    </w:p>
    <w:p w:rsidR="00E83093" w:rsidRPr="00AB1FE2" w:rsidRDefault="00E83093" w:rsidP="00E83093">
      <w:pPr>
        <w:spacing w:line="276" w:lineRule="auto"/>
        <w:jc w:val="both"/>
        <w:rPr>
          <w:rFonts w:ascii="Cambria" w:hAnsi="Cambria" w:cs="Arial"/>
          <w:color w:val="000000"/>
          <w:sz w:val="24"/>
          <w:szCs w:val="24"/>
        </w:rPr>
      </w:pPr>
    </w:p>
    <w:p w:rsidR="00E83093" w:rsidRPr="00AB1FE2" w:rsidRDefault="00E83093" w:rsidP="00E83093">
      <w:pPr>
        <w:spacing w:line="276" w:lineRule="auto"/>
        <w:jc w:val="both"/>
        <w:rPr>
          <w:rFonts w:ascii="Cambria" w:hAnsi="Cambria" w:cs="Arial"/>
          <w:i/>
          <w:color w:val="000000"/>
          <w:sz w:val="24"/>
          <w:szCs w:val="24"/>
        </w:rPr>
      </w:pPr>
      <w:r w:rsidRPr="00AB1FE2">
        <w:rPr>
          <w:rFonts w:ascii="Cambria" w:hAnsi="Cambria" w:cs="Arial"/>
          <w:b/>
          <w:color w:val="000000"/>
          <w:sz w:val="24"/>
          <w:szCs w:val="24"/>
        </w:rPr>
        <w:t>Art. 57</w:t>
      </w:r>
      <w:r w:rsidRPr="00AB1FE2">
        <w:rPr>
          <w:rFonts w:ascii="Cambria" w:hAnsi="Cambria" w:cs="Arial"/>
          <w:i/>
          <w:color w:val="000000"/>
          <w:sz w:val="24"/>
          <w:szCs w:val="24"/>
        </w:rPr>
        <w:t>.- Procedimiento. - Para atender las situaciones de emergencia definidas en el número 31 del artículo 6 de esta ley, previamente a iniciarse el procedimiento, el Ministro de Estado o en general la máxima autoridad de la entidad deberá emitir resolución motivada que declare la emergencia, para justificar la contratación. Dicha resolución se publicará en el Portal de COMPRAS PÚBLICAS.</w:t>
      </w:r>
    </w:p>
    <w:p w:rsidR="00E83093" w:rsidRPr="00AB1FE2" w:rsidRDefault="00E83093" w:rsidP="00E83093">
      <w:pPr>
        <w:spacing w:line="276" w:lineRule="auto"/>
        <w:jc w:val="both"/>
        <w:rPr>
          <w:rFonts w:ascii="Cambria" w:hAnsi="Cambria" w:cs="Arial"/>
          <w:color w:val="000000"/>
          <w:sz w:val="24"/>
          <w:szCs w:val="24"/>
        </w:rPr>
      </w:pPr>
    </w:p>
    <w:p w:rsidR="00E83093" w:rsidRPr="00AB1FE2" w:rsidRDefault="00E83093" w:rsidP="00E83093">
      <w:pPr>
        <w:spacing w:line="276" w:lineRule="auto"/>
        <w:jc w:val="both"/>
        <w:rPr>
          <w:rFonts w:ascii="Cambria" w:hAnsi="Cambria" w:cs="Arial"/>
          <w:i/>
          <w:color w:val="000000"/>
          <w:sz w:val="24"/>
          <w:szCs w:val="24"/>
        </w:rPr>
      </w:pPr>
      <w:r w:rsidRPr="00AB1FE2">
        <w:rPr>
          <w:rFonts w:ascii="Cambria" w:hAnsi="Cambria" w:cs="Arial"/>
          <w:i/>
          <w:color w:val="000000"/>
          <w:sz w:val="24"/>
          <w:szCs w:val="24"/>
        </w:rPr>
        <w:t>La entidad podrá contratar de manera directa, y bajo responsabilidad de la máxima autoridad, las obras, bienes o servicios, incluidos los de consultoría, que se requieran de manera estricta para superar la situación de emergencia. Podrá, inclusive, contratar con empresas extranjeras sin requerir los requisitos previos de domiciliación ni de presentación de garantías; los cuales se cumplirán una vez suscrito el respectivo contrato.</w:t>
      </w:r>
    </w:p>
    <w:p w:rsidR="00E83093" w:rsidRPr="00AB1FE2" w:rsidRDefault="00E83093" w:rsidP="00E83093">
      <w:pPr>
        <w:spacing w:line="276" w:lineRule="auto"/>
        <w:jc w:val="both"/>
        <w:rPr>
          <w:rFonts w:ascii="Cambria" w:hAnsi="Cambria" w:cs="Arial"/>
          <w:i/>
          <w:color w:val="000000"/>
          <w:sz w:val="24"/>
          <w:szCs w:val="24"/>
        </w:rPr>
      </w:pPr>
    </w:p>
    <w:p w:rsidR="00E83093" w:rsidRPr="00AB1FE2" w:rsidRDefault="00E83093" w:rsidP="00E83093">
      <w:pPr>
        <w:spacing w:line="276" w:lineRule="auto"/>
        <w:jc w:val="both"/>
        <w:rPr>
          <w:rFonts w:ascii="Cambria" w:hAnsi="Cambria" w:cs="Arial"/>
          <w:i/>
          <w:color w:val="000000"/>
          <w:sz w:val="24"/>
          <w:szCs w:val="24"/>
        </w:rPr>
      </w:pPr>
      <w:r w:rsidRPr="00AB1FE2">
        <w:rPr>
          <w:rFonts w:ascii="Cambria" w:hAnsi="Cambria" w:cs="Arial"/>
          <w:i/>
          <w:color w:val="000000"/>
          <w:sz w:val="24"/>
          <w:szCs w:val="24"/>
        </w:rPr>
        <w:lastRenderedPageBreak/>
        <w:t>En todos los casos, una vez superada la situación de emergencia, la máxima autoridad de la Entidad Contratante publicará en el Portal COMPRASPUBLICAS un informe que detalle las contrataciones realizadas y el presupuesto empleado, con indicación de los resultados obtenidos.";</w:t>
      </w:r>
    </w:p>
    <w:p w:rsidR="00E83093" w:rsidRPr="00AB1FE2" w:rsidRDefault="00E83093" w:rsidP="00E83093">
      <w:pPr>
        <w:pStyle w:val="Ttulo2"/>
        <w:keepLines/>
        <w:numPr>
          <w:ilvl w:val="0"/>
          <w:numId w:val="0"/>
        </w:numPr>
        <w:tabs>
          <w:tab w:val="clear" w:pos="0"/>
        </w:tabs>
        <w:suppressAutoHyphens w:val="0"/>
        <w:spacing w:before="40" w:after="0" w:line="276" w:lineRule="auto"/>
        <w:ind w:left="576" w:hanging="576"/>
        <w:rPr>
          <w:rFonts w:ascii="Cambria" w:hAnsi="Cambria" w:cs="Arial"/>
          <w:b/>
          <w:color w:val="000000"/>
          <w:sz w:val="24"/>
          <w:szCs w:val="24"/>
        </w:rPr>
      </w:pPr>
      <w:bookmarkStart w:id="2" w:name="_Toc35534162"/>
    </w:p>
    <w:p w:rsidR="00E83093" w:rsidRPr="00AB1FE2" w:rsidRDefault="00E83093" w:rsidP="00E83093">
      <w:pPr>
        <w:pStyle w:val="Ttulo2"/>
        <w:keepLines/>
        <w:numPr>
          <w:ilvl w:val="1"/>
          <w:numId w:val="7"/>
        </w:numPr>
        <w:suppressAutoHyphens w:val="0"/>
        <w:spacing w:before="40" w:after="0" w:line="276" w:lineRule="auto"/>
        <w:ind w:left="720"/>
        <w:rPr>
          <w:rStyle w:val="nrmar"/>
          <w:rFonts w:ascii="Cambria" w:hAnsi="Cambria" w:cs="Arial"/>
          <w:b/>
          <w:color w:val="000000"/>
          <w:sz w:val="24"/>
          <w:szCs w:val="24"/>
        </w:rPr>
      </w:pPr>
      <w:r w:rsidRPr="00AB1FE2">
        <w:rPr>
          <w:rFonts w:ascii="Cambria" w:hAnsi="Cambria" w:cs="Arial"/>
          <w:b/>
          <w:color w:val="000000"/>
          <w:sz w:val="24"/>
          <w:szCs w:val="24"/>
        </w:rPr>
        <w:t>CODIFICACIÓN DE RESOLUCIONES EMITIDA Y ACTUALIZADA POR EL SERVICIO NACIONAL DE CONTRATACIÓN PÚBLICA</w:t>
      </w:r>
      <w:r w:rsidRPr="00AB1FE2">
        <w:rPr>
          <w:rStyle w:val="nrmar"/>
          <w:rFonts w:ascii="Cambria" w:hAnsi="Cambria" w:cs="Arial"/>
          <w:b/>
          <w:color w:val="000000"/>
          <w:sz w:val="24"/>
          <w:szCs w:val="24"/>
        </w:rPr>
        <w:t>.</w:t>
      </w:r>
      <w:bookmarkEnd w:id="2"/>
    </w:p>
    <w:p w:rsidR="00E83093" w:rsidRPr="00AB1FE2" w:rsidRDefault="00E83093" w:rsidP="00E83093">
      <w:pPr>
        <w:suppressAutoHyphens w:val="0"/>
        <w:autoSpaceDE w:val="0"/>
        <w:autoSpaceDN w:val="0"/>
        <w:adjustRightInd w:val="0"/>
        <w:jc w:val="both"/>
        <w:rPr>
          <w:rFonts w:ascii="Cambria" w:hAnsi="Cambria" w:cs="Arial"/>
          <w:i/>
          <w:sz w:val="24"/>
          <w:szCs w:val="24"/>
        </w:rPr>
      </w:pPr>
      <w:r w:rsidRPr="00AB1FE2">
        <w:rPr>
          <w:rFonts w:ascii="Cambria" w:hAnsi="Cambria" w:cs="Arial"/>
          <w:sz w:val="24"/>
          <w:szCs w:val="24"/>
        </w:rPr>
        <w:br/>
      </w:r>
      <w:r w:rsidRPr="00AB1FE2">
        <w:rPr>
          <w:rFonts w:ascii="Cambria" w:hAnsi="Cambria" w:cs="Arial"/>
          <w:b/>
          <w:bCs/>
          <w:i/>
          <w:sz w:val="24"/>
          <w:szCs w:val="24"/>
        </w:rPr>
        <w:t>“Art. 361</w:t>
      </w:r>
      <w:r w:rsidRPr="00AB1FE2">
        <w:rPr>
          <w:rFonts w:ascii="Cambria" w:hAnsi="Cambria" w:cs="Arial"/>
          <w:i/>
          <w:sz w:val="24"/>
          <w:szCs w:val="24"/>
        </w:rPr>
        <w:t>.- Declaratoria de emergencia. - La máxima autoridad de la entidad contratante o su delegado podrá declarar la emergencia únicamente para atender las situaciones definidas en el numeral 31 del artículo 6 de la Ley Orgánica del Sistema Nacional de Contratación Pública observando el procedimiento que consta en el artículo 57 de la referida Ley.</w:t>
      </w:r>
    </w:p>
    <w:p w:rsidR="00E83093" w:rsidRPr="00AB1FE2" w:rsidRDefault="00E83093" w:rsidP="00E83093">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Se consideran situaciones de emergencia exclusivamente las señaladas en el numeral 31 del artículo 6 de la Ley Orgánica del Sistema Nacional de Contratación Pública, cuando se refieran a situaciones que provengan de fuerza mayor o caso fortuito, se detallará el motivo, que tendrá relación con la definición que consta en el artículo 30 de la Codificación del Código Civil. Se deberá considerar que los elementos que definen una situación como emergente y que deben resaltarse en la motivación de la correspondiente resolución, son la inmediatez e imprevisibilidad, debiendo ser concreta, objetiva y probada. Cualquier declaratoria de emergencia, y sus consecuentes contrataciones, que no se ajusten a lo indicado, se considerarán elusión de procedimientos precontractuales. En la declaratoria de emergencia será obligación de la entidad contratante declarar de forma expresa que existe una imposibilidad de llevar a cabo procedimientos de contratación comunes para superar la situación de emergencia.(…).”.</w:t>
      </w:r>
      <w:r w:rsidRPr="00AB1FE2">
        <w:rPr>
          <w:rFonts w:ascii="Cambria" w:hAnsi="Cambria" w:cs="Arial"/>
          <w:i/>
          <w:sz w:val="24"/>
          <w:szCs w:val="24"/>
        </w:rPr>
        <w:br/>
      </w:r>
      <w:r w:rsidRPr="00AB1FE2">
        <w:rPr>
          <w:rFonts w:ascii="Cambria" w:hAnsi="Cambria" w:cs="Arial"/>
          <w:i/>
          <w:sz w:val="24"/>
          <w:szCs w:val="24"/>
        </w:rPr>
        <w:br/>
      </w:r>
      <w:r w:rsidRPr="00AB1FE2">
        <w:rPr>
          <w:rFonts w:ascii="Cambria" w:hAnsi="Cambria" w:cs="Arial"/>
          <w:b/>
          <w:bCs/>
          <w:i/>
          <w:sz w:val="24"/>
          <w:szCs w:val="24"/>
        </w:rPr>
        <w:t>Art. 361.2</w:t>
      </w:r>
      <w:r w:rsidRPr="00AB1FE2">
        <w:rPr>
          <w:rFonts w:ascii="Cambria" w:hAnsi="Cambria" w:cs="Arial"/>
          <w:i/>
          <w:sz w:val="24"/>
          <w:szCs w:val="24"/>
        </w:rPr>
        <w:t>.- Contrataciones en situación de emergencia.- Para la contratación de obras, bienes o servicios, incluido los de consultoría, en situaciones de emergencia se deberá verificar una relación directa y objetiva entre la situación de emergencia y la urgencia de efectuar un procedimiento de contratación para suplir una necesidad actual y emergente que haya surgido como resultado de la situación de emergencia.</w:t>
      </w:r>
    </w:p>
    <w:p w:rsidR="00E83093" w:rsidRPr="00AB1FE2" w:rsidRDefault="00E83093" w:rsidP="00E83093">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 xml:space="preserve">Las contrataciones que se efectúen producto de la declaratoria de emergencia tendrán relación directa con el problema o situación suscitada. </w:t>
      </w:r>
    </w:p>
    <w:p w:rsidR="00E83093" w:rsidRPr="00AB1FE2" w:rsidRDefault="00E83093" w:rsidP="00E83093">
      <w:pPr>
        <w:suppressAutoHyphens w:val="0"/>
        <w:autoSpaceDE w:val="0"/>
        <w:autoSpaceDN w:val="0"/>
        <w:adjustRightInd w:val="0"/>
        <w:jc w:val="both"/>
        <w:rPr>
          <w:rFonts w:ascii="Cambria" w:hAnsi="Cambria" w:cs="Arial"/>
          <w:i/>
          <w:sz w:val="24"/>
          <w:szCs w:val="24"/>
        </w:rPr>
      </w:pPr>
      <w:r w:rsidRPr="00AB1FE2">
        <w:rPr>
          <w:rFonts w:ascii="Cambria" w:hAnsi="Cambria" w:cs="Arial"/>
          <w:i/>
          <w:sz w:val="24"/>
          <w:szCs w:val="24"/>
        </w:rPr>
        <w:br/>
        <w:t xml:space="preserve">Por tanto, las entidades contratantes no podrán aplicar el procedimiento detallado en el presente Capítulo para generar contrataciones que no guarden relación o no tengan efecto o incidencia alguna en la contingencia de la emergencia ocurrida. Tampoco podrán utilizar la emergencia para realizar contrataciones que se encontraban planificadas en la entidad, salvo que la contratación fuese estrictamente necesaria y tenga relación directa con la situación de emergencia. </w:t>
      </w:r>
      <w:r w:rsidRPr="00AB1FE2">
        <w:rPr>
          <w:rFonts w:ascii="Cambria" w:hAnsi="Cambria" w:cs="Arial"/>
          <w:i/>
          <w:sz w:val="24"/>
          <w:szCs w:val="24"/>
        </w:rPr>
        <w:br/>
      </w:r>
      <w:r w:rsidRPr="00AB1FE2">
        <w:rPr>
          <w:rFonts w:ascii="Cambria" w:hAnsi="Cambria" w:cs="Arial"/>
          <w:i/>
          <w:sz w:val="24"/>
          <w:szCs w:val="24"/>
        </w:rPr>
        <w:br/>
        <w:t>En toda contratación de emergencia será necesario la existencia de una certificación de disponibilidad presupuestaria, de forma previa a la contratación. (…)”.</w:t>
      </w:r>
    </w:p>
    <w:p w:rsidR="00E83093" w:rsidRPr="00AB1FE2" w:rsidRDefault="00E83093" w:rsidP="00E83093">
      <w:pPr>
        <w:suppressAutoHyphens w:val="0"/>
        <w:autoSpaceDE w:val="0"/>
        <w:autoSpaceDN w:val="0"/>
        <w:adjustRightInd w:val="0"/>
        <w:jc w:val="both"/>
        <w:rPr>
          <w:rFonts w:ascii="Cambria" w:hAnsi="Cambria" w:cs="Arial"/>
          <w:sz w:val="24"/>
          <w:szCs w:val="24"/>
          <w:lang w:eastAsia="es-EC"/>
        </w:rPr>
      </w:pPr>
    </w:p>
    <w:p w:rsidR="00E83093" w:rsidRPr="00AB1FE2" w:rsidRDefault="00E83093" w:rsidP="00E83093">
      <w:pPr>
        <w:pStyle w:val="Textoindependiente"/>
        <w:numPr>
          <w:ilvl w:val="1"/>
          <w:numId w:val="7"/>
        </w:numPr>
        <w:ind w:left="720"/>
        <w:jc w:val="both"/>
        <w:rPr>
          <w:rFonts w:ascii="Cambria" w:hAnsi="Cambria"/>
          <w:b/>
          <w:i/>
          <w:iCs/>
          <w:sz w:val="24"/>
          <w:szCs w:val="24"/>
        </w:rPr>
      </w:pPr>
      <w:r w:rsidRPr="00AB1FE2">
        <w:rPr>
          <w:rFonts w:ascii="Cambria" w:hAnsi="Cambria"/>
          <w:b/>
          <w:sz w:val="24"/>
          <w:szCs w:val="24"/>
          <w:lang w:eastAsia="es-EC"/>
        </w:rPr>
        <w:t>REGLAMENTO SANITARIO INTERNACIONAL (RSI)</w:t>
      </w:r>
    </w:p>
    <w:p w:rsidR="00E83093" w:rsidRPr="00AB1FE2" w:rsidRDefault="00E83093" w:rsidP="00E83093">
      <w:pPr>
        <w:pStyle w:val="Textoindependiente"/>
        <w:ind w:left="0"/>
        <w:jc w:val="both"/>
        <w:rPr>
          <w:rFonts w:ascii="Cambria" w:hAnsi="Cambria"/>
          <w:i/>
          <w:iCs/>
          <w:sz w:val="24"/>
          <w:szCs w:val="24"/>
        </w:rPr>
      </w:pPr>
    </w:p>
    <w:p w:rsidR="00E83093" w:rsidRPr="00AB1FE2" w:rsidRDefault="00E83093" w:rsidP="00E83093">
      <w:pPr>
        <w:suppressAutoHyphens w:val="0"/>
        <w:autoSpaceDE w:val="0"/>
        <w:autoSpaceDN w:val="0"/>
        <w:adjustRightInd w:val="0"/>
        <w:jc w:val="both"/>
        <w:rPr>
          <w:rFonts w:ascii="Cambria" w:hAnsi="Cambria" w:cs="Arial"/>
          <w:sz w:val="24"/>
          <w:szCs w:val="24"/>
          <w:lang w:eastAsia="es-EC"/>
        </w:rPr>
      </w:pPr>
      <w:r w:rsidRPr="00AB1FE2">
        <w:rPr>
          <w:rFonts w:ascii="Cambria" w:hAnsi="Cambria" w:cs="Arial"/>
          <w:sz w:val="24"/>
          <w:szCs w:val="24"/>
          <w:lang w:eastAsia="es-EC"/>
        </w:rPr>
        <w:lastRenderedPageBreak/>
        <w:t>Tiene como propósito proteger la salud pública, previniendo la diseminación de enfermedades, estableciendo la población de los países de modificación a la OMS todos los eventos que ocurran en su territorio y que puedan constituir una emergencia de salud pública de importancia internacional;</w:t>
      </w:r>
    </w:p>
    <w:p w:rsidR="00E83093" w:rsidRPr="00AB1FE2" w:rsidRDefault="00E83093" w:rsidP="00E83093">
      <w:pPr>
        <w:pStyle w:val="Textoindependiente"/>
        <w:ind w:left="0" w:right="702"/>
        <w:jc w:val="both"/>
        <w:rPr>
          <w:rFonts w:ascii="Cambria" w:hAnsi="Cambria"/>
          <w:b/>
          <w:bCs/>
          <w:color w:val="000000"/>
          <w:sz w:val="24"/>
          <w:szCs w:val="24"/>
        </w:rPr>
      </w:pPr>
    </w:p>
    <w:p w:rsidR="00E83093" w:rsidRPr="00AB1FE2" w:rsidRDefault="00E83093" w:rsidP="00E83093">
      <w:pPr>
        <w:pStyle w:val="Ttulo11"/>
        <w:tabs>
          <w:tab w:val="left" w:pos="1022"/>
        </w:tabs>
        <w:spacing w:before="0"/>
        <w:ind w:left="0" w:right="702" w:firstLine="0"/>
        <w:rPr>
          <w:rFonts w:ascii="Cambria" w:hAnsi="Cambria"/>
          <w:sz w:val="24"/>
          <w:szCs w:val="24"/>
          <w:u w:val="none"/>
        </w:rPr>
      </w:pPr>
    </w:p>
    <w:p w:rsidR="00E83093" w:rsidRPr="00AB1FE2" w:rsidRDefault="00E83093" w:rsidP="00E83093">
      <w:pPr>
        <w:pStyle w:val="Ttulo11"/>
        <w:tabs>
          <w:tab w:val="left" w:pos="1022"/>
        </w:tabs>
        <w:spacing w:before="0"/>
        <w:ind w:left="0" w:right="702" w:firstLine="0"/>
        <w:rPr>
          <w:rFonts w:ascii="Cambria" w:hAnsi="Cambria"/>
          <w:sz w:val="24"/>
          <w:szCs w:val="24"/>
          <w:u w:val="none"/>
        </w:rPr>
      </w:pPr>
      <w:r w:rsidRPr="00AB1FE2">
        <w:rPr>
          <w:rFonts w:ascii="Cambria" w:hAnsi="Cambria"/>
          <w:sz w:val="24"/>
          <w:szCs w:val="24"/>
          <w:u w:val="none"/>
        </w:rPr>
        <w:t>2. Justificación de la adquisición</w:t>
      </w:r>
    </w:p>
    <w:p w:rsidR="00E83093" w:rsidRPr="00AB1FE2" w:rsidRDefault="00E83093" w:rsidP="00E83093">
      <w:pPr>
        <w:pStyle w:val="NormalWeb"/>
        <w:jc w:val="both"/>
        <w:rPr>
          <w:rFonts w:ascii="Cambria" w:hAnsi="Cambria" w:cs="Arial"/>
        </w:rPr>
      </w:pPr>
      <w:r w:rsidRPr="00AB1FE2">
        <w:rPr>
          <w:rFonts w:ascii="Cambria" w:hAnsi="Cambria" w:cs="Arial"/>
        </w:rPr>
        <w:t>Los coronavirus son una amplia familia de virus, algunos tienen la capacidad de transmitirse de los animales a las personas. Producen cuadros clínicos que van desde el resfriado común hasta enfermedades más graves, como ocurre con el coronavirus que causó el síndrome respiratorio agudo grave (SARS-</w:t>
      </w:r>
      <w:proofErr w:type="spellStart"/>
      <w:r w:rsidRPr="00AB1FE2">
        <w:rPr>
          <w:rFonts w:ascii="Cambria" w:hAnsi="Cambria" w:cs="Arial"/>
        </w:rPr>
        <w:t>CoV</w:t>
      </w:r>
      <w:proofErr w:type="spellEnd"/>
      <w:r w:rsidRPr="00AB1FE2">
        <w:rPr>
          <w:rFonts w:ascii="Cambria" w:hAnsi="Cambria" w:cs="Arial"/>
        </w:rPr>
        <w:t>) y el coronavirus causante del síndrome respiratorio de Oriente Medio (MERS-</w:t>
      </w:r>
      <w:proofErr w:type="spellStart"/>
      <w:r w:rsidRPr="00AB1FE2">
        <w:rPr>
          <w:rFonts w:ascii="Cambria" w:hAnsi="Cambria" w:cs="Arial"/>
        </w:rPr>
        <w:t>CoV</w:t>
      </w:r>
      <w:proofErr w:type="spellEnd"/>
      <w:r w:rsidRPr="00AB1FE2">
        <w:rPr>
          <w:rFonts w:ascii="Cambria" w:hAnsi="Cambria" w:cs="Arial"/>
        </w:rPr>
        <w:t>).</w:t>
      </w:r>
    </w:p>
    <w:p w:rsidR="00E83093" w:rsidRPr="00AB1FE2" w:rsidRDefault="00E83093" w:rsidP="00E83093">
      <w:pPr>
        <w:pStyle w:val="NormalWeb"/>
        <w:jc w:val="both"/>
        <w:rPr>
          <w:rFonts w:ascii="Cambria" w:hAnsi="Cambria" w:cs="Arial"/>
        </w:rPr>
      </w:pPr>
      <w:r w:rsidRPr="00AB1FE2">
        <w:rPr>
          <w:rStyle w:val="nfasis"/>
          <w:rFonts w:ascii="Cambria" w:hAnsi="Cambria" w:cs="Arial"/>
        </w:rPr>
        <w:t>El nuevo coronavirus se llama SARS-CoV2, la enfermedad se llama </w:t>
      </w:r>
      <w:r w:rsidRPr="00AB1FE2">
        <w:rPr>
          <w:rStyle w:val="Textoennegrita"/>
          <w:rFonts w:ascii="Cambria" w:hAnsi="Cambria" w:cs="Arial"/>
          <w:i/>
          <w:iCs/>
        </w:rPr>
        <w:t xml:space="preserve">Corona Virus </w:t>
      </w:r>
      <w:proofErr w:type="spellStart"/>
      <w:r w:rsidRPr="00AB1FE2">
        <w:rPr>
          <w:rStyle w:val="Textoennegrita"/>
          <w:rFonts w:ascii="Cambria" w:hAnsi="Cambria" w:cs="Arial"/>
          <w:i/>
          <w:iCs/>
        </w:rPr>
        <w:t>Disease</w:t>
      </w:r>
      <w:proofErr w:type="spellEnd"/>
      <w:r w:rsidRPr="00AB1FE2">
        <w:rPr>
          <w:rStyle w:val="Textoennegrita"/>
          <w:rFonts w:ascii="Cambria" w:hAnsi="Cambria" w:cs="Arial"/>
          <w:i/>
          <w:iCs/>
        </w:rPr>
        <w:t xml:space="preserve"> 2019=COVID19</w:t>
      </w:r>
    </w:p>
    <w:p w:rsidR="00E83093" w:rsidRPr="00AB1FE2" w:rsidRDefault="00E83093" w:rsidP="00E83093">
      <w:pPr>
        <w:pStyle w:val="NormalWeb"/>
        <w:jc w:val="both"/>
        <w:rPr>
          <w:rStyle w:val="Textoennegrita"/>
          <w:rFonts w:ascii="Cambria" w:hAnsi="Cambria" w:cs="Arial"/>
        </w:rPr>
      </w:pPr>
      <w:r w:rsidRPr="00AB1FE2">
        <w:rPr>
          <w:rFonts w:ascii="Cambria" w:hAnsi="Cambria" w:cs="Arial"/>
        </w:rPr>
        <w:t>Es un nuevo tipo de coronavirus que puede afectar a las personas y se ha detectado por primera vez en diciembre de 2019 en la ciudad de Wuhan, provincia de Hubei, en China. Todavía hay muchas cuestiones que se desconocen en relación a la enfermedad que produce:</w:t>
      </w:r>
      <w:r w:rsidRPr="00AB1FE2">
        <w:rPr>
          <w:rStyle w:val="Textoennegrita"/>
          <w:rFonts w:ascii="Cambria" w:hAnsi="Cambria" w:cs="Arial"/>
        </w:rPr>
        <w:t xml:space="preserve"> COVID-19.</w:t>
      </w:r>
      <w:r w:rsidRPr="00AB1FE2">
        <w:rPr>
          <w:rStyle w:val="Refdenotaalpie"/>
          <w:rFonts w:ascii="Cambria" w:hAnsi="Cambria" w:cs="Arial"/>
          <w:b/>
          <w:bCs/>
        </w:rPr>
        <w:footnoteReference w:id="1"/>
      </w:r>
    </w:p>
    <w:p w:rsidR="00E83093" w:rsidRPr="00AB1FE2" w:rsidRDefault="00E83093" w:rsidP="00E83093">
      <w:pPr>
        <w:pStyle w:val="Default"/>
        <w:rPr>
          <w:rFonts w:ascii="Cambria" w:hAnsi="Cambria" w:cs="Arial"/>
          <w:color w:val="auto"/>
          <w:sz w:val="24"/>
          <w:szCs w:val="24"/>
          <w:lang w:eastAsia="es-EC"/>
        </w:rPr>
      </w:pPr>
      <w:r w:rsidRPr="00AB1FE2">
        <w:rPr>
          <w:rFonts w:ascii="Cambria" w:hAnsi="Cambria" w:cs="Arial"/>
          <w:color w:val="auto"/>
          <w:sz w:val="24"/>
          <w:szCs w:val="24"/>
          <w:lang w:eastAsia="es-EC"/>
        </w:rPr>
        <w:t xml:space="preserve">La OPS mediante Documento Manejo clínico de la infección respiratoria aguda grave presuntamente causada por el nuevo coronavirus (2019-nCoV) Orientaciones provisionales del 28 de enero de 2020, publicada en la página institucional del MSP, establece la siguiente Medidas de Aplicación inmediata para los pacientes COVID-19: </w:t>
      </w:r>
    </w:p>
    <w:p w:rsidR="00E83093" w:rsidRPr="00AB1FE2" w:rsidRDefault="00E83093" w:rsidP="00E83093">
      <w:pPr>
        <w:suppressAutoHyphens w:val="0"/>
        <w:autoSpaceDE w:val="0"/>
        <w:autoSpaceDN w:val="0"/>
        <w:adjustRightInd w:val="0"/>
        <w:rPr>
          <w:rFonts w:ascii="Cambria" w:hAnsi="Cambria" w:cs="Arial"/>
          <w:sz w:val="24"/>
          <w:szCs w:val="24"/>
          <w:lang w:eastAsia="es-EC"/>
        </w:rPr>
      </w:pPr>
    </w:p>
    <w:p w:rsidR="00E83093" w:rsidRPr="00AB1FE2" w:rsidRDefault="00E83093" w:rsidP="00E83093">
      <w:pPr>
        <w:suppressAutoHyphens w:val="0"/>
        <w:autoSpaceDE w:val="0"/>
        <w:autoSpaceDN w:val="0"/>
        <w:adjustRightInd w:val="0"/>
        <w:jc w:val="both"/>
        <w:rPr>
          <w:rFonts w:ascii="Cambria" w:hAnsi="Cambria" w:cs="Arial"/>
          <w:i/>
          <w:iCs/>
          <w:sz w:val="24"/>
          <w:szCs w:val="24"/>
          <w:lang w:eastAsia="es-EC"/>
        </w:rPr>
      </w:pPr>
      <w:r w:rsidRPr="00AB1FE2">
        <w:rPr>
          <w:rFonts w:ascii="Cambria" w:hAnsi="Cambria" w:cs="Arial"/>
          <w:sz w:val="24"/>
          <w:szCs w:val="24"/>
          <w:lang w:eastAsia="es-EC"/>
        </w:rPr>
        <w:t>“</w:t>
      </w:r>
      <w:r w:rsidRPr="00AB1FE2">
        <w:rPr>
          <w:rFonts w:ascii="Cambria" w:hAnsi="Cambria" w:cs="Arial"/>
          <w:i/>
          <w:iCs/>
          <w:sz w:val="24"/>
          <w:szCs w:val="24"/>
          <w:lang w:eastAsia="es-EC"/>
        </w:rPr>
        <w:t>La prevención y control de infecciones (PCI) es una parte crucial e integral del manejo clínico de los pacientes y debería iniciarse en el punto de entrada de estos en el hospital (por lo general, los servicios de urgencias). En todas las zonas de los centros de salud deberían tomarse sistemáticamente precauciones ordinarias, como la higiene de manos y el uso de equipos de protección personal (EPP) para evitar el contacto directo con la sangre, los líquidos corporales, las secreciones (incluidas las respiratorias) y la piel (que no esté intacta) de los pacientes. (..)</w:t>
      </w:r>
    </w:p>
    <w:p w:rsidR="00E83093" w:rsidRPr="00AB1FE2" w:rsidRDefault="00E83093" w:rsidP="00E83093">
      <w:pPr>
        <w:suppressAutoHyphens w:val="0"/>
        <w:autoSpaceDE w:val="0"/>
        <w:autoSpaceDN w:val="0"/>
        <w:adjustRightInd w:val="0"/>
        <w:rPr>
          <w:rFonts w:ascii="Cambria" w:hAnsi="Cambria" w:cs="Arial"/>
          <w:color w:val="000000"/>
          <w:sz w:val="24"/>
          <w:szCs w:val="24"/>
          <w:lang w:eastAsia="es-EC"/>
        </w:rPr>
      </w:pPr>
    </w:p>
    <w:p w:rsidR="00E83093" w:rsidRPr="00AB1FE2" w:rsidRDefault="00E83093" w:rsidP="00E83093">
      <w:pPr>
        <w:suppressAutoHyphens w:val="0"/>
        <w:autoSpaceDE w:val="0"/>
        <w:autoSpaceDN w:val="0"/>
        <w:adjustRightInd w:val="0"/>
        <w:jc w:val="both"/>
        <w:rPr>
          <w:rFonts w:ascii="Cambria" w:hAnsi="Cambria" w:cs="Arial"/>
          <w:sz w:val="24"/>
          <w:szCs w:val="24"/>
          <w:lang w:eastAsia="es-EC"/>
        </w:rPr>
      </w:pPr>
      <w:r w:rsidRPr="00AB1FE2">
        <w:rPr>
          <w:rFonts w:ascii="Cambria" w:hAnsi="Cambria" w:cs="Arial"/>
          <w:sz w:val="24"/>
          <w:szCs w:val="24"/>
          <w:lang w:eastAsia="es-EC"/>
        </w:rPr>
        <w:t xml:space="preserve">A partir de este documento, se determinó; la lista de medicamentos y dispositivos médicos para tratamiento de pacientes en </w:t>
      </w:r>
      <w:proofErr w:type="spellStart"/>
      <w:r w:rsidRPr="00AB1FE2">
        <w:rPr>
          <w:rFonts w:ascii="Cambria" w:hAnsi="Cambria" w:cs="Arial"/>
          <w:sz w:val="24"/>
          <w:szCs w:val="24"/>
          <w:lang w:eastAsia="es-EC"/>
        </w:rPr>
        <w:t>triaje</w:t>
      </w:r>
      <w:proofErr w:type="spellEnd"/>
      <w:r w:rsidRPr="00AB1FE2">
        <w:rPr>
          <w:rFonts w:ascii="Cambria" w:hAnsi="Cambria" w:cs="Arial"/>
          <w:sz w:val="24"/>
          <w:szCs w:val="24"/>
          <w:lang w:eastAsia="es-EC"/>
        </w:rPr>
        <w:t xml:space="preserve">, hospitalización y en la Unidad de Cuidados Intensivos - UCI de los establecimientos de salud del MSP; número aproximado de pacientes en hospitalización y UCI aplicando metodología de morbilidad con una tasa de ataque de 0.5 y 1% </w:t>
      </w:r>
      <w:r w:rsidRPr="00AB1FE2">
        <w:rPr>
          <w:rStyle w:val="Refdenotaalpie"/>
          <w:rFonts w:ascii="Cambria" w:hAnsi="Cambria" w:cs="Arial"/>
          <w:sz w:val="24"/>
          <w:szCs w:val="24"/>
          <w:lang w:eastAsia="es-EC"/>
        </w:rPr>
        <w:footnoteReference w:id="2"/>
      </w:r>
      <w:r w:rsidRPr="00AB1FE2">
        <w:rPr>
          <w:rFonts w:ascii="Cambria" w:hAnsi="Cambria" w:cs="Arial"/>
          <w:sz w:val="24"/>
          <w:szCs w:val="24"/>
          <w:lang w:eastAsia="es-EC"/>
        </w:rPr>
        <w:t>; así como escenarios de riesgos por coronavirus.</w:t>
      </w:r>
    </w:p>
    <w:p w:rsidR="00E83093" w:rsidRPr="00AB1FE2" w:rsidRDefault="00E83093" w:rsidP="00E83093">
      <w:pPr>
        <w:suppressAutoHyphens w:val="0"/>
        <w:autoSpaceDE w:val="0"/>
        <w:autoSpaceDN w:val="0"/>
        <w:adjustRightInd w:val="0"/>
        <w:jc w:val="both"/>
        <w:rPr>
          <w:rFonts w:ascii="Cambria" w:eastAsia="Arial" w:hAnsi="Cambria" w:cs="Arial"/>
          <w:b/>
          <w:bCs/>
          <w:sz w:val="24"/>
          <w:szCs w:val="24"/>
        </w:rPr>
      </w:pPr>
    </w:p>
    <w:p w:rsidR="00E83093" w:rsidRPr="00AB1FE2" w:rsidRDefault="00E83093" w:rsidP="00E83093">
      <w:pPr>
        <w:tabs>
          <w:tab w:val="left" w:pos="1022"/>
        </w:tabs>
        <w:ind w:right="680"/>
        <w:jc w:val="both"/>
        <w:rPr>
          <w:rFonts w:ascii="Cambria" w:eastAsia="Arial" w:hAnsi="Cambria" w:cs="Arial"/>
          <w:sz w:val="24"/>
          <w:szCs w:val="24"/>
        </w:rPr>
      </w:pPr>
      <w:r w:rsidRPr="00AB1FE2">
        <w:rPr>
          <w:rFonts w:ascii="Cambria" w:eastAsia="Arial" w:hAnsi="Cambria" w:cs="Arial"/>
          <w:sz w:val="24"/>
          <w:szCs w:val="24"/>
        </w:rPr>
        <w:t>Los medicamentos serán distribuidos en los establecimientos de salud de acuerdo al nivel de complejidad y a la demanda de pacientes con COVID-19.</w:t>
      </w:r>
    </w:p>
    <w:p w:rsidR="00E83093" w:rsidRPr="00AB1FE2" w:rsidRDefault="00E83093" w:rsidP="00E83093">
      <w:pPr>
        <w:suppressAutoHyphens w:val="0"/>
        <w:autoSpaceDE w:val="0"/>
        <w:autoSpaceDN w:val="0"/>
        <w:adjustRightInd w:val="0"/>
        <w:rPr>
          <w:rFonts w:ascii="Cambria" w:hAnsi="Cambria"/>
          <w:b/>
          <w:bCs/>
          <w:sz w:val="24"/>
          <w:szCs w:val="24"/>
          <w:lang w:eastAsia="es-EC"/>
        </w:rPr>
      </w:pPr>
    </w:p>
    <w:p w:rsidR="00E83093" w:rsidRPr="00AB1FE2" w:rsidRDefault="00E83093" w:rsidP="00E83093">
      <w:pPr>
        <w:jc w:val="both"/>
        <w:rPr>
          <w:rFonts w:ascii="Cambria" w:hAnsi="Cambria" w:cs="Arial"/>
          <w:sz w:val="24"/>
          <w:szCs w:val="24"/>
          <w:lang w:val="es-ES"/>
        </w:rPr>
      </w:pPr>
    </w:p>
    <w:p w:rsidR="00E83093" w:rsidRPr="00AB1FE2" w:rsidRDefault="00E83093" w:rsidP="00E83093">
      <w:pPr>
        <w:tabs>
          <w:tab w:val="left" w:pos="1022"/>
        </w:tabs>
        <w:ind w:right="680"/>
        <w:jc w:val="both"/>
        <w:rPr>
          <w:rFonts w:ascii="Cambria" w:hAnsi="Cambria"/>
          <w:sz w:val="24"/>
          <w:szCs w:val="24"/>
        </w:rPr>
      </w:pPr>
      <w:r w:rsidRPr="00AB1FE2">
        <w:rPr>
          <w:rFonts w:ascii="Cambria" w:eastAsia="Arial" w:hAnsi="Cambria" w:cs="Arial"/>
          <w:b/>
          <w:bCs/>
          <w:sz w:val="24"/>
          <w:szCs w:val="24"/>
        </w:rPr>
        <w:lastRenderedPageBreak/>
        <w:t>3. Objetivo</w:t>
      </w:r>
      <w:r w:rsidRPr="00AB1FE2">
        <w:rPr>
          <w:rFonts w:ascii="Cambria" w:eastAsia="Arial" w:hAnsi="Cambria" w:cs="Arial"/>
          <w:b/>
          <w:bCs/>
          <w:spacing w:val="-10"/>
          <w:sz w:val="24"/>
          <w:szCs w:val="24"/>
        </w:rPr>
        <w:t xml:space="preserve"> </w:t>
      </w:r>
      <w:r w:rsidRPr="00AB1FE2">
        <w:rPr>
          <w:rFonts w:ascii="Cambria" w:eastAsia="Arial" w:hAnsi="Cambria" w:cs="Arial"/>
          <w:b/>
          <w:bCs/>
          <w:sz w:val="24"/>
          <w:szCs w:val="24"/>
        </w:rPr>
        <w:t>de</w:t>
      </w:r>
      <w:r w:rsidRPr="00AB1FE2">
        <w:rPr>
          <w:rFonts w:ascii="Cambria" w:eastAsia="Arial" w:hAnsi="Cambria" w:cs="Arial"/>
          <w:b/>
          <w:bCs/>
          <w:spacing w:val="-9"/>
          <w:sz w:val="24"/>
          <w:szCs w:val="24"/>
        </w:rPr>
        <w:t xml:space="preserve"> </w:t>
      </w:r>
      <w:r w:rsidRPr="00AB1FE2">
        <w:rPr>
          <w:rFonts w:ascii="Cambria" w:eastAsia="Arial" w:hAnsi="Cambria" w:cs="Arial"/>
          <w:b/>
          <w:bCs/>
          <w:spacing w:val="2"/>
          <w:sz w:val="24"/>
          <w:szCs w:val="24"/>
        </w:rPr>
        <w:t>la</w:t>
      </w:r>
      <w:r w:rsidRPr="00AB1FE2">
        <w:rPr>
          <w:rFonts w:ascii="Cambria" w:eastAsia="Arial" w:hAnsi="Cambria" w:cs="Arial"/>
          <w:b/>
          <w:bCs/>
          <w:spacing w:val="-14"/>
          <w:sz w:val="24"/>
          <w:szCs w:val="24"/>
        </w:rPr>
        <w:t xml:space="preserve"> </w:t>
      </w:r>
      <w:r w:rsidRPr="00AB1FE2">
        <w:rPr>
          <w:rFonts w:ascii="Cambria" w:eastAsia="Arial" w:hAnsi="Cambria" w:cs="Arial"/>
          <w:b/>
          <w:bCs/>
          <w:sz w:val="24"/>
          <w:szCs w:val="24"/>
        </w:rPr>
        <w:t>compra</w:t>
      </w:r>
    </w:p>
    <w:p w:rsidR="00E83093" w:rsidRPr="00AB1FE2" w:rsidRDefault="00E83093" w:rsidP="00E83093">
      <w:pPr>
        <w:tabs>
          <w:tab w:val="left" w:pos="1022"/>
        </w:tabs>
        <w:ind w:left="624" w:right="680"/>
        <w:jc w:val="both"/>
        <w:rPr>
          <w:rFonts w:ascii="Cambria" w:hAnsi="Cambria" w:cs="Arial"/>
          <w:b/>
          <w:bCs/>
          <w:w w:val="95"/>
          <w:sz w:val="24"/>
          <w:szCs w:val="24"/>
        </w:rPr>
      </w:pPr>
    </w:p>
    <w:p w:rsidR="00E83093" w:rsidRPr="00AB1FE2" w:rsidRDefault="00E83093" w:rsidP="00E83093">
      <w:pPr>
        <w:tabs>
          <w:tab w:val="left" w:pos="1022"/>
        </w:tabs>
        <w:ind w:right="680"/>
        <w:jc w:val="both"/>
        <w:rPr>
          <w:rFonts w:ascii="Cambria" w:hAnsi="Cambria"/>
          <w:sz w:val="24"/>
          <w:szCs w:val="24"/>
        </w:rPr>
      </w:pPr>
      <w:r w:rsidRPr="00AB1FE2">
        <w:rPr>
          <w:rFonts w:ascii="Cambria" w:hAnsi="Cambria" w:cs="Arial"/>
          <w:b/>
          <w:bCs/>
          <w:w w:val="95"/>
          <w:sz w:val="24"/>
          <w:szCs w:val="24"/>
        </w:rPr>
        <w:t>3.1. G</w:t>
      </w:r>
      <w:r w:rsidRPr="00AB1FE2">
        <w:rPr>
          <w:rFonts w:ascii="Cambria" w:hAnsi="Cambria" w:cs="Arial"/>
          <w:b/>
          <w:bCs/>
          <w:spacing w:val="-1"/>
          <w:w w:val="95"/>
          <w:sz w:val="24"/>
          <w:szCs w:val="24"/>
        </w:rPr>
        <w:t>e</w:t>
      </w:r>
      <w:r w:rsidRPr="00AB1FE2">
        <w:rPr>
          <w:rFonts w:ascii="Cambria" w:hAnsi="Cambria" w:cs="Arial"/>
          <w:b/>
          <w:bCs/>
          <w:w w:val="95"/>
          <w:sz w:val="24"/>
          <w:szCs w:val="24"/>
        </w:rPr>
        <w:t>n</w:t>
      </w:r>
      <w:r w:rsidRPr="00AB1FE2">
        <w:rPr>
          <w:rFonts w:ascii="Cambria" w:hAnsi="Cambria" w:cs="Arial"/>
          <w:b/>
          <w:bCs/>
          <w:spacing w:val="-1"/>
          <w:w w:val="95"/>
          <w:sz w:val="24"/>
          <w:szCs w:val="24"/>
        </w:rPr>
        <w:t>e</w:t>
      </w:r>
      <w:r w:rsidRPr="00AB1FE2">
        <w:rPr>
          <w:rFonts w:ascii="Cambria" w:hAnsi="Cambria" w:cs="Arial"/>
          <w:b/>
          <w:bCs/>
          <w:spacing w:val="3"/>
          <w:w w:val="95"/>
          <w:sz w:val="24"/>
          <w:szCs w:val="24"/>
        </w:rPr>
        <w:t>r</w:t>
      </w:r>
      <w:r w:rsidRPr="00AB1FE2">
        <w:rPr>
          <w:rFonts w:ascii="Cambria" w:hAnsi="Cambria" w:cs="Arial"/>
          <w:b/>
          <w:bCs/>
          <w:spacing w:val="-5"/>
          <w:w w:val="95"/>
          <w:sz w:val="24"/>
          <w:szCs w:val="24"/>
        </w:rPr>
        <w:t>a</w:t>
      </w:r>
      <w:r w:rsidRPr="00AB1FE2">
        <w:rPr>
          <w:rFonts w:ascii="Cambria" w:hAnsi="Cambria" w:cs="Arial"/>
          <w:b/>
          <w:bCs/>
          <w:spacing w:val="2"/>
          <w:w w:val="95"/>
          <w:sz w:val="24"/>
          <w:szCs w:val="24"/>
        </w:rPr>
        <w:t>l</w:t>
      </w:r>
    </w:p>
    <w:p w:rsidR="00E83093" w:rsidRPr="00AB1FE2" w:rsidRDefault="00E83093" w:rsidP="00E83093">
      <w:pPr>
        <w:pStyle w:val="Ttulo11"/>
        <w:tabs>
          <w:tab w:val="left" w:pos="1022"/>
        </w:tabs>
        <w:spacing w:before="0"/>
        <w:ind w:left="567" w:right="702" w:firstLine="0"/>
        <w:jc w:val="both"/>
        <w:rPr>
          <w:rFonts w:ascii="Cambria" w:hAnsi="Cambria"/>
          <w:w w:val="95"/>
          <w:sz w:val="24"/>
          <w:szCs w:val="24"/>
          <w:u w:val="none"/>
        </w:rPr>
      </w:pPr>
    </w:p>
    <w:p w:rsidR="00E83093" w:rsidRPr="00AB1FE2" w:rsidRDefault="00E83093" w:rsidP="00E83093">
      <w:pPr>
        <w:tabs>
          <w:tab w:val="left" w:pos="1022"/>
        </w:tabs>
        <w:ind w:right="680"/>
        <w:jc w:val="both"/>
        <w:rPr>
          <w:rFonts w:ascii="Cambria" w:eastAsia="Arial" w:hAnsi="Cambria" w:cs="Arial"/>
          <w:sz w:val="24"/>
          <w:szCs w:val="24"/>
        </w:rPr>
      </w:pPr>
      <w:r w:rsidRPr="00FE20E5">
        <w:rPr>
          <w:rFonts w:ascii="Cambria" w:hAnsi="Cambria" w:cs="Arial"/>
          <w:color w:val="000000"/>
          <w:sz w:val="24"/>
          <w:szCs w:val="24"/>
        </w:rPr>
        <w:t xml:space="preserve">Adquirir </w:t>
      </w:r>
      <w:r w:rsidR="00876EE2">
        <w:rPr>
          <w:rFonts w:ascii="Cambria" w:hAnsi="Cambria" w:cs="Arial"/>
          <w:color w:val="000000"/>
          <w:sz w:val="24"/>
          <w:szCs w:val="24"/>
        </w:rPr>
        <w:t>100.000</w:t>
      </w:r>
      <w:bookmarkStart w:id="3" w:name="_GoBack"/>
      <w:bookmarkEnd w:id="3"/>
      <w:r w:rsidRPr="00FE20E5">
        <w:rPr>
          <w:rFonts w:ascii="Cambria" w:hAnsi="Cambria" w:cs="Arial"/>
          <w:color w:val="000000"/>
          <w:sz w:val="24"/>
          <w:szCs w:val="24"/>
        </w:rPr>
        <w:t xml:space="preserve"> de </w:t>
      </w:r>
      <w:r w:rsidRPr="00FE20E5">
        <w:rPr>
          <w:rFonts w:ascii="Cambria" w:eastAsiaTheme="minorHAnsi" w:hAnsi="Cambria" w:cs="ArialMT"/>
          <w:sz w:val="24"/>
          <w:szCs w:val="24"/>
          <w:lang w:eastAsia="en-US"/>
        </w:rPr>
        <w:t>Kit para determinación de virus COVID-19 por PCR en tiempo real</w:t>
      </w:r>
      <w:r w:rsidRPr="00FE20E5">
        <w:rPr>
          <w:rFonts w:ascii="Cambria" w:hAnsi="Cambria" w:cs="Arial"/>
          <w:color w:val="000000"/>
          <w:sz w:val="24"/>
          <w:szCs w:val="24"/>
        </w:rPr>
        <w:t xml:space="preserve"> para </w:t>
      </w:r>
      <w:r w:rsidRPr="00FE20E5">
        <w:rPr>
          <w:rFonts w:ascii="Cambria" w:hAnsi="Cambria" w:cs="Arial"/>
          <w:sz w:val="24"/>
          <w:szCs w:val="24"/>
          <w:lang w:eastAsia="es-EC"/>
        </w:rPr>
        <w:t>fortalecer la vigilancia para el diagnóstico de casos de COVID-19.</w:t>
      </w:r>
    </w:p>
    <w:p w:rsidR="00E83093" w:rsidRPr="00AB1FE2" w:rsidRDefault="00E83093" w:rsidP="00E83093">
      <w:pPr>
        <w:tabs>
          <w:tab w:val="left" w:pos="1022"/>
        </w:tabs>
        <w:ind w:right="680"/>
        <w:jc w:val="both"/>
        <w:rPr>
          <w:rFonts w:ascii="Cambria" w:eastAsia="Arial" w:hAnsi="Cambria" w:cs="Arial"/>
          <w:sz w:val="24"/>
          <w:szCs w:val="24"/>
        </w:rPr>
      </w:pPr>
    </w:p>
    <w:p w:rsidR="00E83093" w:rsidRPr="00AB1FE2" w:rsidRDefault="00E83093" w:rsidP="00E83093">
      <w:pPr>
        <w:tabs>
          <w:tab w:val="left" w:pos="1022"/>
        </w:tabs>
        <w:ind w:right="680"/>
        <w:jc w:val="both"/>
        <w:rPr>
          <w:rFonts w:ascii="Cambria" w:eastAsia="Arial" w:hAnsi="Cambria" w:cs="Arial"/>
          <w:b/>
          <w:bCs/>
          <w:sz w:val="24"/>
          <w:szCs w:val="24"/>
        </w:rPr>
      </w:pPr>
    </w:p>
    <w:p w:rsidR="00E83093" w:rsidRPr="00AB1FE2" w:rsidRDefault="00E83093" w:rsidP="00E83093">
      <w:pPr>
        <w:tabs>
          <w:tab w:val="left" w:pos="1022"/>
        </w:tabs>
        <w:jc w:val="both"/>
        <w:rPr>
          <w:rFonts w:ascii="Cambria" w:hAnsi="Cambria"/>
          <w:sz w:val="24"/>
          <w:szCs w:val="24"/>
        </w:rPr>
      </w:pPr>
      <w:r w:rsidRPr="00AB1FE2">
        <w:rPr>
          <w:rFonts w:ascii="Cambria" w:eastAsia="Arial" w:hAnsi="Cambria" w:cs="Arial"/>
          <w:b/>
          <w:bCs/>
          <w:sz w:val="24"/>
          <w:szCs w:val="24"/>
        </w:rPr>
        <w:t xml:space="preserve">4. Stock en territorio y bodega Nacional </w:t>
      </w:r>
    </w:p>
    <w:p w:rsidR="00E83093" w:rsidRPr="00AB1FE2" w:rsidRDefault="00E83093" w:rsidP="00E83093">
      <w:pPr>
        <w:tabs>
          <w:tab w:val="left" w:pos="1022"/>
        </w:tabs>
        <w:ind w:right="680"/>
        <w:jc w:val="both"/>
        <w:rPr>
          <w:rFonts w:ascii="Cambria" w:hAnsi="Cambria" w:cs="Arial"/>
          <w:bCs/>
          <w:color w:val="000000"/>
          <w:sz w:val="24"/>
          <w:szCs w:val="24"/>
        </w:rPr>
      </w:pPr>
    </w:p>
    <w:p w:rsidR="009539A1" w:rsidRPr="00AB1FE2" w:rsidRDefault="00C55384" w:rsidP="00E83093">
      <w:pPr>
        <w:jc w:val="both"/>
        <w:rPr>
          <w:rFonts w:ascii="Cambria" w:hAnsi="Cambria" w:cs="Arial"/>
          <w:sz w:val="24"/>
          <w:szCs w:val="24"/>
          <w:lang w:val="es-ES"/>
        </w:rPr>
      </w:pPr>
      <w:r>
        <w:rPr>
          <w:rFonts w:ascii="Cambria" w:hAnsi="Cambria" w:cs="Arial"/>
          <w:bCs/>
          <w:color w:val="000000"/>
          <w:sz w:val="24"/>
          <w:szCs w:val="24"/>
        </w:rPr>
        <w:t>No hay existencias en bodega</w:t>
      </w:r>
    </w:p>
    <w:p w:rsidR="009539A1" w:rsidRPr="00AB1FE2" w:rsidRDefault="009539A1" w:rsidP="00E83093">
      <w:pPr>
        <w:jc w:val="both"/>
        <w:rPr>
          <w:rFonts w:ascii="Cambria" w:hAnsi="Cambria" w:cs="Arial"/>
          <w:sz w:val="24"/>
          <w:szCs w:val="24"/>
          <w:lang w:val="es-ES"/>
        </w:rPr>
      </w:pPr>
    </w:p>
    <w:p w:rsidR="009539A1" w:rsidRPr="00AB1FE2" w:rsidRDefault="009539A1" w:rsidP="00E83093">
      <w:pPr>
        <w:jc w:val="both"/>
        <w:rPr>
          <w:rFonts w:ascii="Cambria" w:hAnsi="Cambria" w:cs="Arial"/>
          <w:sz w:val="24"/>
          <w:szCs w:val="24"/>
          <w:lang w:val="es-ES"/>
        </w:rPr>
      </w:pPr>
    </w:p>
    <w:p w:rsidR="00E83093" w:rsidRPr="00AB1FE2" w:rsidRDefault="00E83093" w:rsidP="00E83093">
      <w:pPr>
        <w:pStyle w:val="Ttulo11"/>
        <w:tabs>
          <w:tab w:val="left" w:pos="1022"/>
        </w:tabs>
        <w:spacing w:before="0"/>
        <w:ind w:left="0" w:right="702" w:firstLine="0"/>
        <w:rPr>
          <w:rFonts w:ascii="Cambria" w:hAnsi="Cambria"/>
          <w:sz w:val="24"/>
          <w:szCs w:val="24"/>
        </w:rPr>
      </w:pPr>
      <w:r w:rsidRPr="00AB1FE2">
        <w:rPr>
          <w:rFonts w:ascii="Cambria" w:hAnsi="Cambria"/>
          <w:spacing w:val="-1"/>
          <w:sz w:val="24"/>
          <w:szCs w:val="24"/>
          <w:u w:val="none"/>
        </w:rPr>
        <w:t>5. Especificaciones técnicas</w:t>
      </w:r>
      <w:r w:rsidRPr="00AB1FE2">
        <w:rPr>
          <w:rFonts w:ascii="Cambria" w:hAnsi="Cambria"/>
          <w:b w:val="0"/>
          <w:bCs w:val="0"/>
          <w:spacing w:val="-1"/>
          <w:sz w:val="24"/>
          <w:szCs w:val="24"/>
          <w:u w:val="none"/>
        </w:rPr>
        <w:t xml:space="preserve"> </w:t>
      </w:r>
    </w:p>
    <w:p w:rsidR="00E83093" w:rsidRPr="00AB1FE2" w:rsidRDefault="009539A1" w:rsidP="00E83093">
      <w:pPr>
        <w:tabs>
          <w:tab w:val="left" w:pos="1022"/>
        </w:tabs>
        <w:ind w:right="702"/>
        <w:rPr>
          <w:rFonts w:ascii="Cambria" w:hAnsi="Cambria" w:cs="Arial"/>
          <w:sz w:val="24"/>
          <w:szCs w:val="24"/>
        </w:rPr>
      </w:pPr>
      <w:r w:rsidRPr="00AB1FE2">
        <w:rPr>
          <w:rFonts w:ascii="Cambria" w:hAnsi="Cambria"/>
          <w:noProof/>
          <w:sz w:val="24"/>
          <w:szCs w:val="24"/>
          <w:lang w:val="es-ES" w:eastAsia="es-ES"/>
        </w:rPr>
        <w:lastRenderedPageBreak/>
        <w:drawing>
          <wp:anchor distT="0" distB="0" distL="114300" distR="114300" simplePos="0" relativeHeight="251659264" behindDoc="0" locked="0" layoutInCell="1" allowOverlap="1" wp14:anchorId="0B4B21A3" wp14:editId="5C561CF1">
            <wp:simplePos x="0" y="0"/>
            <wp:positionH relativeFrom="margin">
              <wp:align>left</wp:align>
            </wp:positionH>
            <wp:positionV relativeFrom="paragraph">
              <wp:posOffset>276860</wp:posOffset>
            </wp:positionV>
            <wp:extent cx="6155690" cy="72047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100" t="10873" r="30204" b="6362"/>
                    <a:stretch/>
                  </pic:blipFill>
                  <pic:spPr bwMode="auto">
                    <a:xfrm>
                      <a:off x="0" y="0"/>
                      <a:ext cx="6157227" cy="7205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093" w:rsidRPr="00AB1FE2">
        <w:rPr>
          <w:rFonts w:ascii="Cambria" w:hAnsi="Cambria" w:cs="Arial"/>
          <w:sz w:val="24"/>
          <w:szCs w:val="24"/>
        </w:rPr>
        <w:t xml:space="preserve"> </w:t>
      </w:r>
    </w:p>
    <w:p w:rsidR="00E83093" w:rsidRPr="00AB1FE2" w:rsidRDefault="00E83093" w:rsidP="00E83093">
      <w:pPr>
        <w:tabs>
          <w:tab w:val="left" w:pos="1022"/>
        </w:tabs>
        <w:ind w:right="702"/>
        <w:rPr>
          <w:rFonts w:ascii="Cambria" w:hAnsi="Cambria" w:cs="Arial"/>
          <w:sz w:val="24"/>
          <w:szCs w:val="24"/>
        </w:rPr>
      </w:pPr>
    </w:p>
    <w:p w:rsidR="00E83093" w:rsidRPr="00AB1FE2" w:rsidRDefault="00E83093" w:rsidP="00E83093">
      <w:pPr>
        <w:tabs>
          <w:tab w:val="left" w:pos="1022"/>
        </w:tabs>
        <w:ind w:right="702"/>
        <w:rPr>
          <w:rFonts w:ascii="Cambria" w:hAnsi="Cambria" w:cs="Arial"/>
          <w:sz w:val="24"/>
          <w:szCs w:val="24"/>
        </w:rPr>
      </w:pPr>
    </w:p>
    <w:p w:rsidR="00E83093" w:rsidRPr="00AB1FE2" w:rsidRDefault="00E83093" w:rsidP="00E83093">
      <w:pPr>
        <w:tabs>
          <w:tab w:val="left" w:pos="1022"/>
        </w:tabs>
        <w:ind w:right="702"/>
        <w:rPr>
          <w:rFonts w:ascii="Cambria" w:hAnsi="Cambria" w:cs="Arial"/>
          <w:sz w:val="24"/>
          <w:szCs w:val="24"/>
        </w:rPr>
      </w:pPr>
    </w:p>
    <w:p w:rsidR="00E83093" w:rsidRPr="00AB1FE2" w:rsidRDefault="009539A1" w:rsidP="00E83093">
      <w:pPr>
        <w:tabs>
          <w:tab w:val="left" w:pos="1022"/>
        </w:tabs>
        <w:ind w:right="702"/>
        <w:rPr>
          <w:rFonts w:ascii="Cambria" w:hAnsi="Cambria" w:cs="Arial"/>
          <w:sz w:val="24"/>
          <w:szCs w:val="24"/>
        </w:rPr>
      </w:pPr>
      <w:r w:rsidRPr="00AB1FE2">
        <w:rPr>
          <w:rFonts w:ascii="Cambria" w:hAnsi="Cambria"/>
          <w:noProof/>
          <w:sz w:val="24"/>
          <w:szCs w:val="24"/>
          <w:lang w:val="es-ES" w:eastAsia="es-ES"/>
        </w:rPr>
        <w:lastRenderedPageBreak/>
        <w:drawing>
          <wp:anchor distT="0" distB="0" distL="114300" distR="114300" simplePos="0" relativeHeight="251660288" behindDoc="0" locked="0" layoutInCell="1" allowOverlap="1">
            <wp:simplePos x="0" y="0"/>
            <wp:positionH relativeFrom="margin">
              <wp:posOffset>-1270</wp:posOffset>
            </wp:positionH>
            <wp:positionV relativeFrom="paragraph">
              <wp:posOffset>1905</wp:posOffset>
            </wp:positionV>
            <wp:extent cx="6240780" cy="6358255"/>
            <wp:effectExtent l="0" t="0" r="762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401" t="9967" r="28846" b="5154"/>
                    <a:stretch/>
                  </pic:blipFill>
                  <pic:spPr bwMode="auto">
                    <a:xfrm>
                      <a:off x="0" y="0"/>
                      <a:ext cx="6240780" cy="635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3093" w:rsidRPr="00AB1FE2" w:rsidRDefault="00E83093" w:rsidP="00E83093">
      <w:pPr>
        <w:rPr>
          <w:rFonts w:ascii="Cambria" w:hAnsi="Cambria"/>
          <w:sz w:val="24"/>
          <w:szCs w:val="24"/>
        </w:rPr>
      </w:pPr>
      <w:r w:rsidRPr="00AB1FE2">
        <w:rPr>
          <w:rFonts w:ascii="Cambria" w:hAnsi="Cambria" w:cs="Arial"/>
          <w:b/>
          <w:bCs/>
          <w:sz w:val="24"/>
          <w:szCs w:val="24"/>
        </w:rPr>
        <w:t xml:space="preserve">6. </w:t>
      </w:r>
      <w:r w:rsidRPr="00AB1FE2">
        <w:rPr>
          <w:rFonts w:ascii="Cambria" w:hAnsi="Cambria" w:cs="Arial"/>
          <w:b/>
          <w:sz w:val="24"/>
          <w:szCs w:val="24"/>
        </w:rPr>
        <w:t xml:space="preserve">Presupuesto referencial </w:t>
      </w:r>
    </w:p>
    <w:p w:rsidR="00E83093" w:rsidRPr="00AB1FE2" w:rsidRDefault="00E83093" w:rsidP="00C55384">
      <w:pPr>
        <w:rPr>
          <w:rFonts w:ascii="Cambria" w:hAnsi="Cambria" w:cs="Arial"/>
          <w:sz w:val="24"/>
          <w:szCs w:val="24"/>
        </w:rPr>
      </w:pPr>
      <w:r w:rsidRPr="00AB1FE2">
        <w:rPr>
          <w:rFonts w:ascii="Cambria" w:hAnsi="Cambria" w:cs="Arial"/>
          <w:sz w:val="24"/>
          <w:szCs w:val="24"/>
          <w:lang w:val="es-ES"/>
        </w:rPr>
        <w:t xml:space="preserve">El presupuesto referencial para la adquisición de dispositivo médico </w:t>
      </w:r>
      <w:r w:rsidR="00C55384" w:rsidRPr="00C55384">
        <w:rPr>
          <w:rFonts w:ascii="Cambria" w:hAnsi="Cambria" w:cs="Arial"/>
          <w:sz w:val="24"/>
          <w:szCs w:val="24"/>
          <w:lang w:val="es-ES"/>
        </w:rPr>
        <w:t xml:space="preserve">“Kit para determinación de virus COVID-19 por PCR en tiempo </w:t>
      </w:r>
      <w:r w:rsidR="001D55F6" w:rsidRPr="00C55384">
        <w:rPr>
          <w:rFonts w:ascii="Cambria" w:hAnsi="Cambria" w:cs="Arial"/>
          <w:sz w:val="24"/>
          <w:szCs w:val="24"/>
          <w:lang w:val="es-ES"/>
        </w:rPr>
        <w:t>real”</w:t>
      </w:r>
      <w:r w:rsidR="001D55F6">
        <w:rPr>
          <w:rFonts w:ascii="Cambria" w:hAnsi="Cambria" w:cs="Arial"/>
          <w:sz w:val="24"/>
          <w:szCs w:val="24"/>
          <w:lang w:val="es-ES"/>
        </w:rPr>
        <w:t xml:space="preserve"> </w:t>
      </w:r>
      <w:r w:rsidR="001D55F6" w:rsidRPr="00AB1FE2">
        <w:rPr>
          <w:rFonts w:ascii="Cambria" w:hAnsi="Cambria" w:cs="Arial"/>
          <w:sz w:val="24"/>
          <w:szCs w:val="24"/>
          <w:lang w:val="es-ES"/>
        </w:rPr>
        <w:t>será</w:t>
      </w:r>
      <w:r w:rsidR="00C55384">
        <w:rPr>
          <w:rFonts w:ascii="Cambria" w:hAnsi="Cambria" w:cs="Arial"/>
          <w:sz w:val="24"/>
          <w:szCs w:val="24"/>
          <w:lang w:val="es-ES"/>
        </w:rPr>
        <w:t xml:space="preserve"> financiado con la certificación presupuestaria Nº</w:t>
      </w:r>
      <w:r w:rsidR="001D55F6">
        <w:rPr>
          <w:rFonts w:ascii="Cambria" w:hAnsi="Cambria" w:cs="Arial"/>
          <w:sz w:val="24"/>
          <w:szCs w:val="24"/>
          <w:lang w:val="es-ES"/>
        </w:rPr>
        <w:t xml:space="preserve"> 231 con cargo a la partida presupuestaria Nº 90 00 000 001 530810/530826 1701 001 0000 0000</w:t>
      </w:r>
    </w:p>
    <w:p w:rsidR="00E83093" w:rsidRPr="00AB1FE2" w:rsidRDefault="00E83093" w:rsidP="00E83093">
      <w:pPr>
        <w:tabs>
          <w:tab w:val="left" w:pos="1022"/>
        </w:tabs>
        <w:ind w:right="702"/>
        <w:jc w:val="both"/>
        <w:rPr>
          <w:rFonts w:ascii="Cambria" w:hAnsi="Cambria" w:cs="Arial"/>
          <w:sz w:val="24"/>
          <w:szCs w:val="24"/>
        </w:rPr>
      </w:pPr>
    </w:p>
    <w:p w:rsidR="00E83093" w:rsidRPr="00AB1FE2" w:rsidRDefault="00E83093" w:rsidP="00E83093">
      <w:pPr>
        <w:jc w:val="both"/>
        <w:rPr>
          <w:rFonts w:ascii="Cambria" w:hAnsi="Cambria"/>
          <w:sz w:val="24"/>
          <w:szCs w:val="24"/>
        </w:rPr>
      </w:pPr>
      <w:r w:rsidRPr="00AB1FE2">
        <w:rPr>
          <w:rFonts w:ascii="Cambria" w:hAnsi="Cambria" w:cs="Arial"/>
          <w:b/>
          <w:sz w:val="24"/>
          <w:szCs w:val="24"/>
          <w:lang w:val="es-ES"/>
        </w:rPr>
        <w:t xml:space="preserve">7. Plazo de ejecución del contrato </w:t>
      </w:r>
    </w:p>
    <w:p w:rsidR="00E83093" w:rsidRPr="00AB1FE2" w:rsidRDefault="00E83093" w:rsidP="00E83093">
      <w:pPr>
        <w:jc w:val="both"/>
        <w:rPr>
          <w:rFonts w:ascii="Cambria" w:hAnsi="Cambria" w:cs="Arial"/>
          <w:b/>
          <w:sz w:val="24"/>
          <w:szCs w:val="24"/>
          <w:lang w:val="es-ES"/>
        </w:rPr>
      </w:pPr>
    </w:p>
    <w:p w:rsidR="00E83093" w:rsidRPr="00AB1FE2" w:rsidRDefault="00E83093" w:rsidP="00E83093">
      <w:pPr>
        <w:jc w:val="both"/>
        <w:rPr>
          <w:rFonts w:ascii="Cambria" w:hAnsi="Cambria"/>
          <w:sz w:val="24"/>
          <w:szCs w:val="24"/>
        </w:rPr>
      </w:pPr>
      <w:r w:rsidRPr="00AB1FE2">
        <w:rPr>
          <w:rFonts w:ascii="Cambria" w:hAnsi="Cambria" w:cs="Arial"/>
          <w:sz w:val="24"/>
          <w:szCs w:val="24"/>
          <w:lang w:val="es-ES"/>
        </w:rPr>
        <w:lastRenderedPageBreak/>
        <w:t xml:space="preserve">El plazo para la ejecución de la presente adquisición será de </w:t>
      </w:r>
      <w:r w:rsidR="009539A1" w:rsidRPr="00AB1FE2">
        <w:rPr>
          <w:rFonts w:ascii="Cambria" w:hAnsi="Cambria" w:cs="Arial"/>
          <w:sz w:val="24"/>
          <w:szCs w:val="24"/>
          <w:lang w:val="es-ES"/>
        </w:rPr>
        <w:t>quince (15</w:t>
      </w:r>
      <w:r w:rsidRPr="00AB1FE2">
        <w:rPr>
          <w:rFonts w:ascii="Cambria" w:hAnsi="Cambria" w:cs="Arial"/>
          <w:sz w:val="24"/>
          <w:szCs w:val="24"/>
          <w:lang w:val="es-ES"/>
        </w:rPr>
        <w:t>) días calendario desde la suscripción de su correspondiente contrato.</w:t>
      </w:r>
    </w:p>
    <w:p w:rsidR="00E83093" w:rsidRPr="00AB1FE2" w:rsidRDefault="00E83093" w:rsidP="009539A1">
      <w:pPr>
        <w:jc w:val="both"/>
        <w:rPr>
          <w:rFonts w:ascii="Cambria" w:hAnsi="Cambria" w:cs="Arial"/>
          <w:sz w:val="24"/>
          <w:szCs w:val="24"/>
          <w:lang w:val="es-ES"/>
        </w:rPr>
      </w:pPr>
    </w:p>
    <w:p w:rsidR="00E83093" w:rsidRPr="00AB1FE2" w:rsidRDefault="00E83093" w:rsidP="00E83093">
      <w:pPr>
        <w:jc w:val="both"/>
        <w:rPr>
          <w:rFonts w:ascii="Cambria" w:hAnsi="Cambria"/>
          <w:sz w:val="24"/>
          <w:szCs w:val="24"/>
        </w:rPr>
      </w:pPr>
      <w:r w:rsidRPr="00AB1FE2">
        <w:rPr>
          <w:rFonts w:ascii="Cambria" w:hAnsi="Cambria" w:cs="Arial"/>
          <w:b/>
          <w:sz w:val="24"/>
          <w:szCs w:val="24"/>
          <w:lang w:val="es-ES"/>
        </w:rPr>
        <w:t>8.</w:t>
      </w:r>
      <w:r w:rsidRPr="00AB1FE2">
        <w:rPr>
          <w:rFonts w:ascii="Cambria" w:hAnsi="Cambria" w:cs="Arial"/>
          <w:sz w:val="24"/>
          <w:szCs w:val="24"/>
          <w:lang w:val="es-ES"/>
        </w:rPr>
        <w:t xml:space="preserve"> </w:t>
      </w:r>
      <w:r w:rsidRPr="00AB1FE2">
        <w:rPr>
          <w:rFonts w:ascii="Cambria" w:hAnsi="Cambria" w:cs="Arial"/>
          <w:b/>
          <w:sz w:val="24"/>
          <w:szCs w:val="24"/>
          <w:lang w:val="es-ES"/>
        </w:rPr>
        <w:t>Forma y condiciones de pago</w:t>
      </w:r>
    </w:p>
    <w:p w:rsidR="00E83093" w:rsidRPr="00AB1FE2" w:rsidRDefault="00E83093" w:rsidP="00E83093">
      <w:pPr>
        <w:ind w:left="360" w:right="-119"/>
        <w:jc w:val="both"/>
        <w:rPr>
          <w:rFonts w:ascii="Cambria" w:hAnsi="Cambria" w:cs="Arial"/>
          <w:b/>
          <w:sz w:val="24"/>
          <w:szCs w:val="24"/>
          <w:lang w:val="es-ES"/>
        </w:rPr>
      </w:pPr>
    </w:p>
    <w:p w:rsidR="003E5342" w:rsidRPr="00AB1FE2" w:rsidRDefault="003E5342" w:rsidP="003E5342">
      <w:pPr>
        <w:ind w:right="-119"/>
        <w:jc w:val="both"/>
        <w:rPr>
          <w:rFonts w:ascii="Cambria" w:hAnsi="Cambria" w:cs="Arial"/>
          <w:sz w:val="24"/>
          <w:szCs w:val="24"/>
          <w:lang w:val="es-ES"/>
        </w:rPr>
      </w:pPr>
      <w:r w:rsidRPr="00AB1FE2">
        <w:rPr>
          <w:rFonts w:ascii="Cambria" w:hAnsi="Cambria" w:cs="Arial"/>
          <w:b/>
          <w:sz w:val="24"/>
          <w:szCs w:val="24"/>
          <w:lang w:val="es-ES"/>
        </w:rPr>
        <w:t>Forma</w:t>
      </w:r>
      <w:r w:rsidRPr="00AB1FE2">
        <w:rPr>
          <w:rFonts w:ascii="Cambria" w:hAnsi="Cambria" w:cs="Arial"/>
          <w:sz w:val="24"/>
          <w:szCs w:val="24"/>
          <w:lang w:val="es-ES"/>
        </w:rPr>
        <w:t xml:space="preserve"> </w:t>
      </w:r>
      <w:r w:rsidRPr="00AB1FE2">
        <w:rPr>
          <w:rFonts w:ascii="Cambria" w:hAnsi="Cambria" w:cs="Arial"/>
          <w:b/>
          <w:sz w:val="24"/>
          <w:szCs w:val="24"/>
          <w:lang w:val="es-ES"/>
        </w:rPr>
        <w:t xml:space="preserve">de pago: </w:t>
      </w:r>
      <w:r w:rsidRPr="00AB1FE2">
        <w:rPr>
          <w:rFonts w:ascii="Cambria" w:hAnsi="Cambria" w:cs="Arial"/>
          <w:sz w:val="24"/>
          <w:szCs w:val="24"/>
          <w:lang w:val="es-ES"/>
        </w:rPr>
        <w:t>El pago se realizará 100 % contra-entrega.</w:t>
      </w:r>
    </w:p>
    <w:p w:rsidR="003E5342" w:rsidRPr="00AB1FE2" w:rsidRDefault="003E5342" w:rsidP="003E5342">
      <w:pPr>
        <w:ind w:right="-119"/>
        <w:jc w:val="both"/>
        <w:rPr>
          <w:rFonts w:ascii="Cambria" w:hAnsi="Cambria" w:cs="Arial"/>
          <w:sz w:val="24"/>
          <w:szCs w:val="24"/>
          <w:lang w:val="es-ES"/>
        </w:rPr>
      </w:pPr>
    </w:p>
    <w:p w:rsidR="003E5342" w:rsidRPr="00AB1FE2" w:rsidRDefault="003E5342" w:rsidP="003E5342">
      <w:pPr>
        <w:ind w:right="-119"/>
        <w:jc w:val="both"/>
        <w:rPr>
          <w:rFonts w:ascii="Cambria" w:hAnsi="Cambria"/>
          <w:sz w:val="24"/>
          <w:szCs w:val="24"/>
        </w:rPr>
      </w:pPr>
      <w:r w:rsidRPr="00AB1FE2">
        <w:rPr>
          <w:rFonts w:ascii="Cambria" w:hAnsi="Cambria" w:cs="Arial"/>
          <w:b/>
          <w:sz w:val="24"/>
          <w:szCs w:val="24"/>
          <w:lang w:val="es-ES"/>
        </w:rPr>
        <w:t>Condiciones de pago</w:t>
      </w:r>
      <w:r w:rsidRPr="00AB1FE2">
        <w:rPr>
          <w:rFonts w:ascii="Cambria" w:hAnsi="Cambria" w:cs="Arial"/>
          <w:sz w:val="24"/>
          <w:szCs w:val="24"/>
          <w:lang w:val="es-ES"/>
        </w:rPr>
        <w:t>: Se realizará el pago previo al informe de satisfacción del administrador del contrato, presentación de la respectiva acta entrega-recepción y la factura correspondiente.</w:t>
      </w:r>
    </w:p>
    <w:p w:rsidR="003E5342" w:rsidRPr="00AB1FE2" w:rsidRDefault="003E5342" w:rsidP="003E5342">
      <w:pPr>
        <w:ind w:right="-119"/>
        <w:jc w:val="both"/>
        <w:rPr>
          <w:rFonts w:ascii="Cambria" w:hAnsi="Cambria" w:cs="Arial"/>
          <w:sz w:val="24"/>
          <w:szCs w:val="24"/>
          <w:lang w:val="es-ES"/>
        </w:rPr>
      </w:pPr>
    </w:p>
    <w:p w:rsidR="00E83093" w:rsidRPr="00AB1FE2" w:rsidRDefault="00E83093" w:rsidP="00E83093">
      <w:pPr>
        <w:ind w:right="-119"/>
        <w:jc w:val="both"/>
        <w:rPr>
          <w:rFonts w:ascii="Cambria" w:hAnsi="Cambria" w:cs="Arial"/>
          <w:sz w:val="24"/>
          <w:szCs w:val="24"/>
          <w:lang w:val="es-ES"/>
        </w:rPr>
      </w:pPr>
    </w:p>
    <w:p w:rsidR="00E83093" w:rsidRPr="00AB1FE2" w:rsidRDefault="00E83093" w:rsidP="00E83093">
      <w:pPr>
        <w:shd w:val="clear" w:color="auto" w:fill="FFFFFF"/>
        <w:rPr>
          <w:rFonts w:ascii="Cambria" w:hAnsi="Cambria"/>
          <w:sz w:val="24"/>
          <w:szCs w:val="24"/>
        </w:rPr>
      </w:pPr>
      <w:r w:rsidRPr="00AB1FE2">
        <w:rPr>
          <w:rFonts w:ascii="Cambria" w:hAnsi="Cambria" w:cs="Arial"/>
          <w:b/>
          <w:sz w:val="24"/>
          <w:szCs w:val="24"/>
          <w:lang w:val="es-ES"/>
        </w:rPr>
        <w:t>9. Lugar y forma de entrega</w:t>
      </w:r>
    </w:p>
    <w:p w:rsidR="00E83093" w:rsidRPr="00AB1FE2" w:rsidRDefault="00E83093" w:rsidP="00E83093">
      <w:pPr>
        <w:shd w:val="clear" w:color="auto" w:fill="FFFFFF"/>
        <w:rPr>
          <w:rFonts w:ascii="Cambria" w:hAnsi="Cambria" w:cs="Arial"/>
          <w:b/>
          <w:sz w:val="24"/>
          <w:szCs w:val="24"/>
          <w:lang w:val="es-ES"/>
        </w:rPr>
      </w:pPr>
    </w:p>
    <w:tbl>
      <w:tblPr>
        <w:tblW w:w="0" w:type="auto"/>
        <w:jc w:val="center"/>
        <w:tblLayout w:type="fixed"/>
        <w:tblCellMar>
          <w:left w:w="38" w:type="dxa"/>
        </w:tblCellMar>
        <w:tblLook w:val="0000" w:firstRow="0" w:lastRow="0" w:firstColumn="0" w:lastColumn="0" w:noHBand="0" w:noVBand="0"/>
      </w:tblPr>
      <w:tblGrid>
        <w:gridCol w:w="3870"/>
        <w:gridCol w:w="4005"/>
      </w:tblGrid>
      <w:tr w:rsidR="00E83093" w:rsidRPr="00AB1FE2" w:rsidTr="00F320B6">
        <w:trPr>
          <w:cantSplit/>
          <w:trHeight w:val="23"/>
          <w:jc w:val="center"/>
        </w:trPr>
        <w:tc>
          <w:tcPr>
            <w:tcW w:w="3870" w:type="dxa"/>
            <w:vMerge w:val="restart"/>
            <w:tcBorders>
              <w:top w:val="single" w:sz="4" w:space="0" w:color="000000"/>
              <w:left w:val="single" w:sz="4" w:space="0" w:color="000000"/>
              <w:bottom w:val="single" w:sz="4" w:space="0" w:color="000000"/>
            </w:tcBorders>
            <w:shd w:val="clear" w:color="auto" w:fill="FFFFFF"/>
            <w:vAlign w:val="center"/>
          </w:tcPr>
          <w:p w:rsidR="00E83093" w:rsidRPr="00AB1FE2" w:rsidRDefault="00E83093" w:rsidP="00F320B6">
            <w:pPr>
              <w:jc w:val="center"/>
              <w:rPr>
                <w:rFonts w:ascii="Cambria" w:hAnsi="Cambria"/>
                <w:sz w:val="24"/>
                <w:szCs w:val="24"/>
              </w:rPr>
            </w:pPr>
            <w:r w:rsidRPr="00AB1FE2">
              <w:rPr>
                <w:rFonts w:ascii="Cambria" w:hAnsi="Cambria" w:cs="Arial"/>
                <w:b/>
                <w:sz w:val="24"/>
                <w:szCs w:val="24"/>
                <w:lang w:val="es-ES"/>
              </w:rPr>
              <w:t>Lugar y dirección</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093" w:rsidRPr="00AB1FE2" w:rsidRDefault="00E83093" w:rsidP="00F320B6">
            <w:pPr>
              <w:snapToGrid w:val="0"/>
              <w:jc w:val="center"/>
              <w:rPr>
                <w:rFonts w:ascii="Cambria" w:hAnsi="Cambria"/>
                <w:sz w:val="24"/>
                <w:szCs w:val="24"/>
              </w:rPr>
            </w:pPr>
            <w:r w:rsidRPr="00AB1FE2">
              <w:rPr>
                <w:rFonts w:ascii="Cambria" w:hAnsi="Cambria" w:cs="Arial"/>
                <w:b/>
                <w:sz w:val="24"/>
                <w:szCs w:val="24"/>
                <w:lang w:val="es-ES"/>
              </w:rPr>
              <w:t>Forma de entrega</w:t>
            </w:r>
          </w:p>
        </w:tc>
      </w:tr>
      <w:tr w:rsidR="00E83093" w:rsidRPr="00AB1FE2" w:rsidTr="00F320B6">
        <w:trPr>
          <w:cantSplit/>
          <w:trHeight w:val="23"/>
          <w:jc w:val="center"/>
        </w:trPr>
        <w:tc>
          <w:tcPr>
            <w:tcW w:w="3870" w:type="dxa"/>
            <w:vMerge/>
            <w:tcBorders>
              <w:top w:val="single" w:sz="4" w:space="0" w:color="000000"/>
              <w:left w:val="single" w:sz="4" w:space="0" w:color="000000"/>
              <w:bottom w:val="single" w:sz="4" w:space="0" w:color="000000"/>
            </w:tcBorders>
            <w:shd w:val="clear" w:color="auto" w:fill="FFFFFF"/>
            <w:vAlign w:val="center"/>
          </w:tcPr>
          <w:p w:rsidR="00E83093" w:rsidRPr="00AB1FE2" w:rsidRDefault="00E83093" w:rsidP="00F320B6">
            <w:pPr>
              <w:snapToGrid w:val="0"/>
              <w:jc w:val="center"/>
              <w:rPr>
                <w:rFonts w:ascii="Cambria" w:hAnsi="Cambria" w:cs="Arial"/>
                <w:b/>
                <w:sz w:val="24"/>
                <w:szCs w:val="24"/>
                <w:lang w:val="es-ES"/>
              </w:rPr>
            </w:pP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00B0" w:rsidRPr="00AB1FE2" w:rsidRDefault="00E83093" w:rsidP="00A000B0">
            <w:pPr>
              <w:jc w:val="center"/>
              <w:rPr>
                <w:rFonts w:ascii="Cambria" w:hAnsi="Cambria"/>
                <w:sz w:val="24"/>
                <w:szCs w:val="24"/>
              </w:rPr>
            </w:pPr>
            <w:r w:rsidRPr="00AB1FE2">
              <w:rPr>
                <w:rFonts w:ascii="Cambria" w:hAnsi="Cambria" w:cs="Arial"/>
                <w:sz w:val="24"/>
                <w:szCs w:val="24"/>
                <w:lang w:val="es-ES"/>
              </w:rPr>
              <w:t xml:space="preserve"> </w:t>
            </w:r>
            <w:r w:rsidR="00A000B0">
              <w:rPr>
                <w:rFonts w:ascii="Cambria" w:hAnsi="Cambria" w:cs="Arial"/>
                <w:sz w:val="24"/>
                <w:szCs w:val="24"/>
                <w:lang w:val="es-ES"/>
              </w:rPr>
              <w:t xml:space="preserve">Los </w:t>
            </w:r>
            <w:r w:rsidR="00A000B0" w:rsidRPr="00AE3B9C">
              <w:rPr>
                <w:rFonts w:ascii="Cambria" w:hAnsi="Cambria" w:cs="Arial"/>
                <w:sz w:val="24"/>
                <w:szCs w:val="24"/>
                <w:lang w:val="es-ES"/>
              </w:rPr>
              <w:t xml:space="preserve">36000 </w:t>
            </w:r>
            <w:r w:rsidR="00A000B0" w:rsidRPr="00AE3B9C">
              <w:rPr>
                <w:rFonts w:ascii="Cambria" w:eastAsia="Arial" w:hAnsi="Cambria" w:cs="Arial"/>
                <w:b/>
                <w:bCs/>
                <w:iCs/>
                <w:sz w:val="24"/>
                <w:szCs w:val="24"/>
              </w:rPr>
              <w:t>“Kit para determinación de virus COVID-19 por PCR en tiempo real”</w:t>
            </w:r>
          </w:p>
          <w:p w:rsidR="00E83093" w:rsidRPr="00AB1FE2" w:rsidRDefault="00E83093" w:rsidP="00F320B6">
            <w:pPr>
              <w:ind w:left="66" w:right="-119"/>
              <w:jc w:val="center"/>
              <w:rPr>
                <w:rFonts w:ascii="Cambria" w:hAnsi="Cambria"/>
                <w:sz w:val="24"/>
                <w:szCs w:val="24"/>
              </w:rPr>
            </w:pPr>
          </w:p>
        </w:tc>
      </w:tr>
      <w:tr w:rsidR="00E83093" w:rsidRPr="00AB1FE2" w:rsidTr="00F320B6">
        <w:trPr>
          <w:cantSplit/>
          <w:trHeight w:val="1036"/>
          <w:jc w:val="center"/>
        </w:trPr>
        <w:tc>
          <w:tcPr>
            <w:tcW w:w="3870" w:type="dxa"/>
            <w:tcBorders>
              <w:top w:val="single" w:sz="4" w:space="0" w:color="000000"/>
              <w:left w:val="single" w:sz="4" w:space="0" w:color="000000"/>
              <w:bottom w:val="single" w:sz="4" w:space="0" w:color="000000"/>
            </w:tcBorders>
            <w:shd w:val="clear" w:color="auto" w:fill="FFFFFF"/>
            <w:vAlign w:val="center"/>
          </w:tcPr>
          <w:p w:rsidR="00E83093" w:rsidRPr="00AB1FE2" w:rsidRDefault="00E83093" w:rsidP="00F320B6">
            <w:pPr>
              <w:jc w:val="center"/>
              <w:rPr>
                <w:rFonts w:ascii="Cambria" w:hAnsi="Cambria"/>
                <w:sz w:val="24"/>
                <w:szCs w:val="24"/>
              </w:rPr>
            </w:pPr>
            <w:r w:rsidRPr="00AB1FE2">
              <w:rPr>
                <w:rFonts w:ascii="Cambria" w:hAnsi="Cambria" w:cs="Arial"/>
                <w:sz w:val="24"/>
                <w:szCs w:val="24"/>
                <w:lang w:val="es-ES"/>
              </w:rPr>
              <w:t xml:space="preserve">Provincia de Pichincha, Cantón Quito. </w:t>
            </w:r>
          </w:p>
          <w:p w:rsidR="00E83093" w:rsidRPr="00AB1FE2" w:rsidRDefault="00E83093" w:rsidP="00F320B6">
            <w:pPr>
              <w:jc w:val="center"/>
              <w:rPr>
                <w:rFonts w:ascii="Cambria" w:eastAsia="Arial" w:hAnsi="Cambria" w:cs="Arial"/>
                <w:sz w:val="24"/>
                <w:szCs w:val="24"/>
                <w:lang w:val="es-ES"/>
              </w:rPr>
            </w:pPr>
            <w:r w:rsidRPr="00AB1FE2">
              <w:rPr>
                <w:rFonts w:ascii="Cambria" w:eastAsia="Arial" w:hAnsi="Cambria" w:cs="Arial"/>
                <w:sz w:val="24"/>
                <w:szCs w:val="24"/>
                <w:lang w:val="es-ES"/>
              </w:rPr>
              <w:t xml:space="preserve"> Calle Av. Islas Malvinas y E3</w:t>
            </w:r>
          </w:p>
          <w:p w:rsidR="00E83093" w:rsidRPr="00AB1FE2" w:rsidRDefault="00E83093" w:rsidP="00F320B6">
            <w:pPr>
              <w:jc w:val="center"/>
              <w:rPr>
                <w:rFonts w:ascii="Cambria" w:hAnsi="Cambria" w:cs="Arial"/>
                <w:sz w:val="24"/>
                <w:szCs w:val="24"/>
                <w:lang w:val="es-ES"/>
              </w:rPr>
            </w:pPr>
            <w:r w:rsidRPr="00AB1FE2">
              <w:rPr>
                <w:rFonts w:ascii="Cambria" w:eastAsia="Arial" w:hAnsi="Cambria" w:cs="Arial"/>
                <w:sz w:val="24"/>
                <w:szCs w:val="24"/>
                <w:lang w:val="es-ES"/>
              </w:rPr>
              <w:t xml:space="preserve"> </w:t>
            </w:r>
            <w:r w:rsidRPr="00AB1FE2">
              <w:rPr>
                <w:rFonts w:ascii="Cambria" w:hAnsi="Cambria" w:cs="Arial"/>
                <w:sz w:val="24"/>
                <w:szCs w:val="24"/>
                <w:lang w:val="es-ES"/>
              </w:rPr>
              <w:t>Sector El Beaterio</w:t>
            </w:r>
          </w:p>
          <w:p w:rsidR="00E83093" w:rsidRPr="00AB1FE2" w:rsidRDefault="00E83093" w:rsidP="00F320B6">
            <w:pPr>
              <w:jc w:val="center"/>
              <w:rPr>
                <w:rFonts w:ascii="Cambria" w:hAnsi="Cambria"/>
                <w:sz w:val="24"/>
                <w:szCs w:val="24"/>
              </w:rPr>
            </w:pP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093" w:rsidRPr="00AB1FE2" w:rsidRDefault="00E83093" w:rsidP="00F320B6">
            <w:pPr>
              <w:snapToGrid w:val="0"/>
              <w:jc w:val="center"/>
              <w:rPr>
                <w:rFonts w:ascii="Cambria" w:hAnsi="Cambria"/>
                <w:sz w:val="24"/>
                <w:szCs w:val="24"/>
              </w:rPr>
            </w:pPr>
            <w:r w:rsidRPr="00AB1FE2">
              <w:rPr>
                <w:rFonts w:ascii="Cambria" w:eastAsia="Arial Unicode MS" w:hAnsi="Cambria" w:cs="Arial"/>
                <w:sz w:val="24"/>
                <w:szCs w:val="24"/>
                <w:lang w:val="es-ES"/>
              </w:rPr>
              <w:t>Serán entregados hasta los 1días calendario desde la suscripción de su correspondiente contrato.</w:t>
            </w:r>
          </w:p>
        </w:tc>
      </w:tr>
    </w:tbl>
    <w:p w:rsidR="00E83093" w:rsidRPr="00AB1FE2" w:rsidRDefault="00E83093" w:rsidP="00E83093">
      <w:pPr>
        <w:shd w:val="clear" w:color="auto" w:fill="FFFFFF"/>
        <w:rPr>
          <w:rFonts w:ascii="Cambria" w:hAnsi="Cambria" w:cs="Arial"/>
          <w:b/>
          <w:spacing w:val="-2"/>
          <w:sz w:val="24"/>
          <w:szCs w:val="24"/>
          <w:lang w:val="es-ES"/>
        </w:rPr>
      </w:pPr>
    </w:p>
    <w:p w:rsidR="00E83093" w:rsidRPr="00AB1FE2" w:rsidRDefault="00E83093" w:rsidP="00E83093">
      <w:pPr>
        <w:rPr>
          <w:rFonts w:ascii="Cambria" w:hAnsi="Cambria" w:cs="Arial"/>
          <w:sz w:val="24"/>
          <w:szCs w:val="24"/>
          <w:lang w:val="es-ES"/>
        </w:rPr>
      </w:pPr>
    </w:p>
    <w:p w:rsidR="003E5342" w:rsidRPr="00AB1FE2" w:rsidRDefault="004E4CD2" w:rsidP="004E4CD2">
      <w:pPr>
        <w:rPr>
          <w:rFonts w:ascii="Cambria" w:hAnsi="Cambria"/>
          <w:sz w:val="24"/>
          <w:szCs w:val="24"/>
        </w:rPr>
      </w:pPr>
      <w:r>
        <w:rPr>
          <w:rFonts w:ascii="Cambria" w:hAnsi="Cambria" w:cs="Arial"/>
          <w:b/>
          <w:bCs/>
          <w:spacing w:val="-2"/>
          <w:sz w:val="24"/>
          <w:szCs w:val="24"/>
          <w:lang w:val="es-ES"/>
        </w:rPr>
        <w:t xml:space="preserve">10. </w:t>
      </w:r>
      <w:r w:rsidR="003E5342" w:rsidRPr="00AB1FE2">
        <w:rPr>
          <w:rFonts w:ascii="Cambria" w:hAnsi="Cambria" w:cs="Arial"/>
          <w:b/>
          <w:bCs/>
          <w:spacing w:val="-2"/>
          <w:sz w:val="24"/>
          <w:szCs w:val="24"/>
          <w:lang w:val="es-ES"/>
        </w:rPr>
        <w:t>Requisitos mínimos.</w:t>
      </w:r>
    </w:p>
    <w:p w:rsidR="003E5342" w:rsidRPr="00AB1FE2" w:rsidRDefault="003E5342" w:rsidP="003E5342">
      <w:pPr>
        <w:rPr>
          <w:rFonts w:ascii="Cambria" w:hAnsi="Cambria" w:cs="Arial"/>
          <w:spacing w:val="-2"/>
          <w:sz w:val="24"/>
          <w:szCs w:val="24"/>
          <w:lang w:val="es-ES"/>
        </w:rPr>
      </w:pPr>
    </w:p>
    <w:p w:rsidR="003E5342" w:rsidRPr="00AB1FE2" w:rsidRDefault="003E5342" w:rsidP="003E5342">
      <w:pPr>
        <w:rPr>
          <w:rFonts w:ascii="Cambria" w:hAnsi="Cambria" w:cs="Arial"/>
          <w:color w:val="000000"/>
          <w:sz w:val="24"/>
          <w:szCs w:val="24"/>
        </w:rPr>
      </w:pPr>
      <w:r w:rsidRPr="00AB1FE2">
        <w:rPr>
          <w:rFonts w:ascii="Cambria" w:hAnsi="Cambria" w:cs="Arial"/>
          <w:color w:val="000000"/>
          <w:sz w:val="24"/>
          <w:szCs w:val="24"/>
        </w:rPr>
        <w:t>Los documentos que deben acompañar a la oferta, proforma o cotización serán, en caso de:</w:t>
      </w:r>
    </w:p>
    <w:p w:rsidR="003E5342" w:rsidRPr="00AB1FE2" w:rsidRDefault="003E5342" w:rsidP="003E5342">
      <w:pPr>
        <w:rPr>
          <w:rFonts w:ascii="Cambria" w:hAnsi="Cambria" w:cs="Arial"/>
          <w:color w:val="000000"/>
          <w:sz w:val="24"/>
          <w:szCs w:val="24"/>
        </w:rPr>
      </w:pPr>
    </w:p>
    <w:p w:rsidR="00E83093" w:rsidRPr="00AB1FE2" w:rsidRDefault="00E83093" w:rsidP="00E83093">
      <w:pPr>
        <w:rPr>
          <w:rFonts w:ascii="Cambria" w:hAnsi="Cambria" w:cs="Arial"/>
          <w:color w:val="000000"/>
          <w:sz w:val="24"/>
          <w:szCs w:val="24"/>
        </w:rPr>
      </w:pPr>
      <w:r w:rsidRPr="00AB1FE2">
        <w:rPr>
          <w:rFonts w:ascii="Cambria" w:hAnsi="Cambria" w:cs="Arial"/>
          <w:color w:val="000000"/>
          <w:sz w:val="24"/>
          <w:szCs w:val="24"/>
          <w:u w:val="single"/>
        </w:rPr>
        <w:t>Proveedor Nacional</w:t>
      </w:r>
      <w:r w:rsidRPr="00AB1FE2">
        <w:rPr>
          <w:rFonts w:ascii="Cambria" w:hAnsi="Cambria" w:cs="Arial"/>
          <w:color w:val="000000"/>
          <w:sz w:val="24"/>
          <w:szCs w:val="24"/>
        </w:rPr>
        <w:t xml:space="preserve">: </w:t>
      </w:r>
    </w:p>
    <w:p w:rsidR="00E83093" w:rsidRPr="00AB1FE2" w:rsidRDefault="00E83093" w:rsidP="00E83093">
      <w:pPr>
        <w:rPr>
          <w:rFonts w:ascii="Cambria" w:hAnsi="Cambria" w:cs="Arial"/>
          <w:color w:val="000000"/>
          <w:sz w:val="24"/>
          <w:szCs w:val="24"/>
        </w:rPr>
      </w:pPr>
    </w:p>
    <w:p w:rsidR="00E83093" w:rsidRPr="00AB1FE2" w:rsidRDefault="00E83093" w:rsidP="00E83093">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 simple del Permiso de funcionamiento vigente del oferente (proveedor).</w:t>
      </w:r>
    </w:p>
    <w:p w:rsidR="00E83093" w:rsidRPr="00AB1FE2" w:rsidRDefault="00E83093" w:rsidP="00E83093">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 simple del Certificado de Registro Sanitario vigente.</w:t>
      </w:r>
    </w:p>
    <w:p w:rsidR="00E83093" w:rsidRPr="00AB1FE2" w:rsidRDefault="00E83093" w:rsidP="00E83093">
      <w:pPr>
        <w:numPr>
          <w:ilvl w:val="0"/>
          <w:numId w:val="2"/>
        </w:numPr>
        <w:tabs>
          <w:tab w:val="left" w:pos="-2127"/>
          <w:tab w:val="left" w:pos="-1985"/>
          <w:tab w:val="left" w:pos="408"/>
        </w:tabs>
        <w:jc w:val="both"/>
        <w:rPr>
          <w:rFonts w:ascii="Cambria" w:hAnsi="Cambria"/>
          <w:sz w:val="24"/>
          <w:szCs w:val="24"/>
        </w:rPr>
      </w:pPr>
      <w:r w:rsidRPr="00AB1FE2">
        <w:rPr>
          <w:rFonts w:ascii="Cambria" w:hAnsi="Cambria" w:cs="Arial"/>
          <w:color w:val="000000"/>
          <w:sz w:val="24"/>
          <w:szCs w:val="24"/>
        </w:rPr>
        <w:t>Copia</w:t>
      </w:r>
      <w:r w:rsidRPr="00AB1FE2">
        <w:rPr>
          <w:rFonts w:ascii="Cambria" w:hAnsi="Cambria" w:cs="Arial"/>
          <w:sz w:val="24"/>
          <w:szCs w:val="24"/>
        </w:rPr>
        <w:t xml:space="preserve"> simple del Certificado de Norma ISO 13485 o Norma específica del producto, o Certificado de Buenas Prácticas de Manufactura (BPM), vigente.</w:t>
      </w:r>
    </w:p>
    <w:p w:rsidR="00E83093" w:rsidRPr="00AB1FE2" w:rsidRDefault="00E83093" w:rsidP="00E83093">
      <w:pPr>
        <w:tabs>
          <w:tab w:val="left" w:pos="-2127"/>
          <w:tab w:val="left" w:pos="-1985"/>
          <w:tab w:val="left" w:pos="408"/>
        </w:tabs>
        <w:jc w:val="both"/>
        <w:rPr>
          <w:rFonts w:ascii="Cambria" w:hAnsi="Cambria" w:cs="Arial"/>
          <w:color w:val="000000"/>
          <w:sz w:val="24"/>
          <w:szCs w:val="24"/>
        </w:rPr>
      </w:pPr>
    </w:p>
    <w:p w:rsidR="00E83093" w:rsidRPr="00AB1FE2" w:rsidRDefault="00E83093" w:rsidP="00E83093">
      <w:pPr>
        <w:tabs>
          <w:tab w:val="left" w:pos="-2127"/>
          <w:tab w:val="left" w:pos="-1985"/>
          <w:tab w:val="left" w:pos="408"/>
        </w:tabs>
        <w:jc w:val="both"/>
        <w:rPr>
          <w:rFonts w:ascii="Cambria" w:hAnsi="Cambria" w:cs="Arial"/>
          <w:color w:val="000000"/>
          <w:sz w:val="24"/>
          <w:szCs w:val="24"/>
          <w:u w:val="single"/>
        </w:rPr>
      </w:pPr>
      <w:r w:rsidRPr="00AB1FE2">
        <w:rPr>
          <w:rFonts w:ascii="Cambria" w:hAnsi="Cambria" w:cs="Arial"/>
          <w:color w:val="000000"/>
          <w:sz w:val="24"/>
          <w:szCs w:val="24"/>
          <w:u w:val="single"/>
        </w:rPr>
        <w:t>Proveedor internacional:</w:t>
      </w:r>
    </w:p>
    <w:p w:rsidR="00E83093" w:rsidRPr="00AB1FE2" w:rsidRDefault="00E83093" w:rsidP="00E83093">
      <w:pPr>
        <w:numPr>
          <w:ilvl w:val="0"/>
          <w:numId w:val="2"/>
        </w:numPr>
        <w:tabs>
          <w:tab w:val="left" w:pos="-2127"/>
          <w:tab w:val="left" w:pos="-1985"/>
          <w:tab w:val="left" w:pos="408"/>
        </w:tabs>
        <w:jc w:val="both"/>
        <w:rPr>
          <w:rFonts w:ascii="Cambria" w:hAnsi="Cambria" w:cs="Arial"/>
          <w:color w:val="000000"/>
          <w:sz w:val="24"/>
          <w:szCs w:val="24"/>
        </w:rPr>
      </w:pPr>
      <w:r w:rsidRPr="00AB1FE2">
        <w:rPr>
          <w:rFonts w:ascii="Cambria" w:hAnsi="Cambria" w:cs="Arial"/>
          <w:color w:val="000000"/>
          <w:sz w:val="24"/>
          <w:szCs w:val="24"/>
        </w:rPr>
        <w:t>Copia de registro sanitario del país de origen o su equivalente, vigente.</w:t>
      </w:r>
    </w:p>
    <w:p w:rsidR="00E83093" w:rsidRPr="00AB1FE2" w:rsidRDefault="00E83093" w:rsidP="00E83093">
      <w:pPr>
        <w:numPr>
          <w:ilvl w:val="0"/>
          <w:numId w:val="2"/>
        </w:numPr>
        <w:tabs>
          <w:tab w:val="left" w:pos="-2127"/>
          <w:tab w:val="left" w:pos="-1985"/>
          <w:tab w:val="left" w:pos="408"/>
        </w:tabs>
        <w:jc w:val="both"/>
        <w:rPr>
          <w:rFonts w:ascii="Cambria" w:hAnsi="Cambria" w:cs="Arial"/>
          <w:color w:val="000000"/>
          <w:sz w:val="24"/>
          <w:szCs w:val="24"/>
        </w:rPr>
      </w:pPr>
      <w:r w:rsidRPr="00AB1FE2">
        <w:rPr>
          <w:rFonts w:ascii="Cambria" w:hAnsi="Cambria" w:cs="Arial"/>
          <w:color w:val="000000"/>
          <w:sz w:val="24"/>
          <w:szCs w:val="24"/>
        </w:rPr>
        <w:t>Copia a color de las etiquetas completas y/o artes del producto ofertado, cuya información (nombre, especificaciones, laboratorio, etc.) deberá coincidir con el registro sanitario del país de origen o su equivalente.</w:t>
      </w:r>
    </w:p>
    <w:p w:rsidR="00E83093" w:rsidRPr="00AB1FE2" w:rsidRDefault="00E83093" w:rsidP="00E83093">
      <w:pPr>
        <w:tabs>
          <w:tab w:val="left" w:pos="-2127"/>
          <w:tab w:val="left" w:pos="-1985"/>
          <w:tab w:val="left" w:pos="408"/>
        </w:tabs>
        <w:jc w:val="both"/>
        <w:rPr>
          <w:rFonts w:ascii="Cambria" w:hAnsi="Cambria" w:cs="Arial"/>
          <w:color w:val="000000"/>
          <w:sz w:val="24"/>
          <w:szCs w:val="24"/>
        </w:rPr>
      </w:pPr>
    </w:p>
    <w:p w:rsidR="00E83093" w:rsidRPr="00AB1FE2" w:rsidRDefault="00E83093" w:rsidP="00E83093">
      <w:pPr>
        <w:tabs>
          <w:tab w:val="left" w:pos="-2127"/>
          <w:tab w:val="left" w:pos="-1985"/>
        </w:tabs>
        <w:ind w:left="1287"/>
        <w:rPr>
          <w:rFonts w:ascii="Cambria" w:hAnsi="Cambria" w:cs="Arial"/>
          <w:b/>
          <w:sz w:val="24"/>
          <w:szCs w:val="24"/>
          <w:lang w:val="es-ES"/>
        </w:rPr>
      </w:pPr>
    </w:p>
    <w:p w:rsidR="00E83093" w:rsidRPr="00AB1FE2" w:rsidRDefault="00E83093" w:rsidP="00E83093">
      <w:pPr>
        <w:rPr>
          <w:rFonts w:ascii="Cambria" w:hAnsi="Cambria"/>
          <w:sz w:val="24"/>
          <w:szCs w:val="24"/>
        </w:rPr>
      </w:pPr>
      <w:r w:rsidRPr="00AB1FE2">
        <w:rPr>
          <w:rFonts w:ascii="Cambria" w:hAnsi="Cambria" w:cs="Arial"/>
          <w:b/>
          <w:sz w:val="24"/>
          <w:szCs w:val="24"/>
          <w:lang w:val="es-ES"/>
        </w:rPr>
        <w:t xml:space="preserve">11. Recepción </w:t>
      </w:r>
    </w:p>
    <w:p w:rsidR="00E83093" w:rsidRPr="00AB1FE2" w:rsidRDefault="00E83093" w:rsidP="00E83093">
      <w:pPr>
        <w:rPr>
          <w:rFonts w:ascii="Cambria" w:hAnsi="Cambria" w:cs="Arial"/>
          <w:b/>
          <w:sz w:val="24"/>
          <w:szCs w:val="24"/>
          <w:lang w:val="es-ES"/>
        </w:rPr>
      </w:pPr>
    </w:p>
    <w:p w:rsidR="00E83093" w:rsidRPr="00AB1FE2" w:rsidRDefault="00E83093" w:rsidP="00E83093">
      <w:pPr>
        <w:rPr>
          <w:rFonts w:ascii="Cambria" w:hAnsi="Cambria" w:cs="Arial"/>
          <w:b/>
          <w:sz w:val="24"/>
          <w:szCs w:val="24"/>
          <w:lang w:val="es-ES"/>
        </w:rPr>
      </w:pPr>
      <w:r w:rsidRPr="00AB1FE2">
        <w:rPr>
          <w:rFonts w:ascii="Cambria" w:hAnsi="Cambria" w:cs="Arial"/>
          <w:b/>
          <w:sz w:val="24"/>
          <w:szCs w:val="24"/>
          <w:lang w:val="es-ES"/>
        </w:rPr>
        <w:lastRenderedPageBreak/>
        <w:t>11.1 Recepción técnica</w:t>
      </w:r>
    </w:p>
    <w:p w:rsidR="00E83093" w:rsidRPr="00AB1FE2" w:rsidRDefault="00E83093" w:rsidP="00E83093">
      <w:pPr>
        <w:rPr>
          <w:rFonts w:ascii="Cambria" w:hAnsi="Cambria" w:cs="Arial"/>
          <w:b/>
          <w:sz w:val="24"/>
          <w:szCs w:val="24"/>
          <w:lang w:val="es-ES"/>
        </w:rPr>
      </w:pPr>
    </w:p>
    <w:p w:rsidR="00E83093" w:rsidRPr="00AB1FE2" w:rsidRDefault="00E83093" w:rsidP="00E83093">
      <w:pPr>
        <w:rPr>
          <w:rFonts w:ascii="Cambria" w:hAnsi="Cambria" w:cs="Arial"/>
          <w:color w:val="000000"/>
          <w:sz w:val="24"/>
          <w:szCs w:val="24"/>
        </w:rPr>
      </w:pPr>
      <w:r w:rsidRPr="00AB1FE2">
        <w:rPr>
          <w:rFonts w:ascii="Cambria" w:hAnsi="Cambria" w:cs="Arial"/>
          <w:color w:val="000000"/>
          <w:sz w:val="24"/>
          <w:szCs w:val="24"/>
          <w:u w:val="single"/>
        </w:rPr>
        <w:t>Proveedor Nacional</w:t>
      </w:r>
      <w:r w:rsidRPr="00AB1FE2">
        <w:rPr>
          <w:rFonts w:ascii="Cambria" w:hAnsi="Cambria" w:cs="Arial"/>
          <w:color w:val="000000"/>
          <w:sz w:val="24"/>
          <w:szCs w:val="24"/>
        </w:rPr>
        <w:t xml:space="preserve">: </w:t>
      </w:r>
    </w:p>
    <w:p w:rsidR="00E83093" w:rsidRPr="00AB1FE2" w:rsidRDefault="00E83093" w:rsidP="00E83093">
      <w:pPr>
        <w:rPr>
          <w:rFonts w:ascii="Cambria" w:hAnsi="Cambria"/>
          <w:sz w:val="24"/>
          <w:szCs w:val="24"/>
        </w:rPr>
      </w:pPr>
    </w:p>
    <w:p w:rsidR="00E83093" w:rsidRPr="00AB1FE2" w:rsidRDefault="00E83093" w:rsidP="00E83093">
      <w:pPr>
        <w:ind w:right="-113"/>
        <w:jc w:val="both"/>
        <w:rPr>
          <w:rFonts w:ascii="Cambria" w:hAnsi="Cambria"/>
          <w:sz w:val="24"/>
          <w:szCs w:val="24"/>
        </w:rPr>
      </w:pPr>
      <w:r w:rsidRPr="00AB1FE2">
        <w:rPr>
          <w:rFonts w:ascii="Cambria" w:hAnsi="Cambria" w:cs="Arial"/>
          <w:sz w:val="24"/>
          <w:szCs w:val="24"/>
          <w:lang w:val="es-ES"/>
        </w:rPr>
        <w:t>Realizada por un profesional químico o bioquímico farmacéutico delegado de la Dirección Nacional de Medicamentos y Dispositivos Médicos, quien verificará las especificaciones técnicas del dispositivo médico recibido, conforme lo establece la Guía para la Recepción y Almacenamiento de Medicamentos del Ministerio de Salud Pública, para lo cual el contratista deberá presentar los siguientes documentos:</w:t>
      </w:r>
    </w:p>
    <w:p w:rsidR="00E83093" w:rsidRPr="00AB1FE2" w:rsidRDefault="00E83093" w:rsidP="00E83093">
      <w:pPr>
        <w:ind w:right="-113"/>
        <w:jc w:val="both"/>
        <w:rPr>
          <w:rFonts w:ascii="Cambria" w:hAnsi="Cambria" w:cs="Arial"/>
          <w:sz w:val="24"/>
          <w:szCs w:val="24"/>
        </w:rPr>
      </w:pPr>
    </w:p>
    <w:p w:rsidR="00E83093" w:rsidRPr="00AB1FE2" w:rsidRDefault="00E83093" w:rsidP="00E83093">
      <w:pPr>
        <w:numPr>
          <w:ilvl w:val="0"/>
          <w:numId w:val="5"/>
        </w:numPr>
        <w:jc w:val="both"/>
        <w:rPr>
          <w:rFonts w:ascii="Cambria" w:hAnsi="Cambria"/>
          <w:sz w:val="24"/>
          <w:szCs w:val="24"/>
        </w:rPr>
      </w:pPr>
      <w:r w:rsidRPr="00AB1FE2">
        <w:rPr>
          <w:rFonts w:ascii="Cambria" w:hAnsi="Cambria" w:cs="Arial"/>
          <w:color w:val="000000"/>
          <w:sz w:val="24"/>
          <w:szCs w:val="24"/>
        </w:rPr>
        <w:t>Copia simple del Registro Sanitario ecuatoriano.</w:t>
      </w:r>
    </w:p>
    <w:p w:rsidR="00E83093" w:rsidRPr="00AB1FE2" w:rsidRDefault="00E83093" w:rsidP="00E83093">
      <w:pPr>
        <w:numPr>
          <w:ilvl w:val="0"/>
          <w:numId w:val="5"/>
        </w:numPr>
        <w:jc w:val="both"/>
        <w:rPr>
          <w:rFonts w:ascii="Cambria" w:hAnsi="Cambria"/>
          <w:sz w:val="24"/>
          <w:szCs w:val="24"/>
        </w:rPr>
      </w:pPr>
      <w:r w:rsidRPr="00AB1FE2">
        <w:rPr>
          <w:rFonts w:ascii="Cambria" w:hAnsi="Cambria" w:cs="Arial"/>
          <w:sz w:val="24"/>
          <w:szCs w:val="24"/>
        </w:rPr>
        <w:t>Copia simple del Certificado de Control de Calidad del lote o lotes del dispositivo médico entregado.</w:t>
      </w:r>
    </w:p>
    <w:p w:rsidR="00E83093" w:rsidRPr="00AB1FE2" w:rsidRDefault="00E83093" w:rsidP="00E83093">
      <w:pPr>
        <w:numPr>
          <w:ilvl w:val="0"/>
          <w:numId w:val="5"/>
        </w:numPr>
        <w:jc w:val="both"/>
        <w:rPr>
          <w:rFonts w:ascii="Cambria" w:hAnsi="Cambria"/>
          <w:sz w:val="24"/>
          <w:szCs w:val="24"/>
        </w:rPr>
      </w:pPr>
      <w:r w:rsidRPr="00AB1FE2">
        <w:rPr>
          <w:rFonts w:ascii="Cambria" w:hAnsi="Cambria" w:cs="Arial"/>
          <w:sz w:val="24"/>
          <w:szCs w:val="24"/>
        </w:rPr>
        <w:t>Copia simple del Certificado de Norma ISO 13485 o Norma específica del producto, o Certificado de Buenas Prácticas de Manufactura (BPM), vigente.</w:t>
      </w:r>
    </w:p>
    <w:p w:rsidR="00E83093" w:rsidRPr="00AB1FE2" w:rsidRDefault="00E83093" w:rsidP="00E83093">
      <w:pPr>
        <w:numPr>
          <w:ilvl w:val="0"/>
          <w:numId w:val="5"/>
        </w:numPr>
        <w:jc w:val="both"/>
        <w:rPr>
          <w:rFonts w:ascii="Cambria" w:hAnsi="Cambria"/>
          <w:sz w:val="24"/>
          <w:szCs w:val="24"/>
        </w:rPr>
      </w:pPr>
      <w:r w:rsidRPr="00AB1FE2">
        <w:rPr>
          <w:rFonts w:ascii="Cambria" w:hAnsi="Cambria" w:cs="Arial"/>
          <w:color w:val="000000"/>
          <w:sz w:val="24"/>
          <w:szCs w:val="24"/>
        </w:rPr>
        <w:t>Copia simple del Contrato de Adquisición/orden de compra.</w:t>
      </w:r>
    </w:p>
    <w:p w:rsidR="00E83093" w:rsidRPr="00AB1FE2" w:rsidRDefault="00E83093" w:rsidP="00E83093">
      <w:pPr>
        <w:ind w:left="720"/>
        <w:jc w:val="both"/>
        <w:rPr>
          <w:rFonts w:ascii="Cambria" w:hAnsi="Cambria" w:cs="Arial"/>
          <w:color w:val="000000"/>
          <w:sz w:val="24"/>
          <w:szCs w:val="24"/>
        </w:rPr>
      </w:pPr>
    </w:p>
    <w:p w:rsidR="00E83093" w:rsidRPr="00AB1FE2" w:rsidRDefault="00E83093" w:rsidP="00E83093">
      <w:pPr>
        <w:ind w:left="720"/>
        <w:jc w:val="both"/>
        <w:rPr>
          <w:rFonts w:ascii="Cambria" w:hAnsi="Cambria"/>
          <w:sz w:val="24"/>
          <w:szCs w:val="24"/>
        </w:rPr>
      </w:pPr>
    </w:p>
    <w:p w:rsidR="00E83093" w:rsidRPr="00AB1FE2" w:rsidRDefault="00E83093" w:rsidP="00E83093">
      <w:pPr>
        <w:jc w:val="both"/>
        <w:rPr>
          <w:rFonts w:ascii="Cambria" w:hAnsi="Cambria" w:cs="Arial"/>
          <w:color w:val="000000"/>
          <w:sz w:val="24"/>
          <w:szCs w:val="24"/>
          <w:u w:val="single"/>
        </w:rPr>
      </w:pPr>
      <w:r w:rsidRPr="00AB1FE2">
        <w:rPr>
          <w:rFonts w:ascii="Cambria" w:hAnsi="Cambria" w:cs="Arial"/>
          <w:color w:val="000000"/>
          <w:sz w:val="24"/>
          <w:szCs w:val="24"/>
          <w:u w:val="single"/>
        </w:rPr>
        <w:t>Proveedor Internacional:</w:t>
      </w:r>
    </w:p>
    <w:p w:rsidR="00E83093" w:rsidRPr="00AB1FE2" w:rsidRDefault="00E83093" w:rsidP="00E83093">
      <w:pPr>
        <w:jc w:val="both"/>
        <w:rPr>
          <w:rFonts w:ascii="Cambria" w:hAnsi="Cambria" w:cs="Arial"/>
          <w:color w:val="000000"/>
          <w:sz w:val="24"/>
          <w:szCs w:val="24"/>
          <w:u w:val="single"/>
        </w:rPr>
      </w:pPr>
    </w:p>
    <w:p w:rsidR="00E83093" w:rsidRPr="00AB1FE2" w:rsidRDefault="00E83093" w:rsidP="00E83093">
      <w:pPr>
        <w:numPr>
          <w:ilvl w:val="0"/>
          <w:numId w:val="10"/>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Registro Sanitario vigente del país de origen o su equivalente.</w:t>
      </w:r>
    </w:p>
    <w:p w:rsidR="00E83093" w:rsidRPr="00AB1FE2" w:rsidRDefault="00E83093" w:rsidP="00E83093">
      <w:pPr>
        <w:numPr>
          <w:ilvl w:val="0"/>
          <w:numId w:val="10"/>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Control de Calidad del lote o lotes del dispositivo médico entregado.</w:t>
      </w:r>
    </w:p>
    <w:p w:rsidR="00E83093" w:rsidRPr="00AB1FE2" w:rsidRDefault="00E83093" w:rsidP="00E83093">
      <w:pPr>
        <w:numPr>
          <w:ilvl w:val="0"/>
          <w:numId w:val="10"/>
        </w:numPr>
        <w:tabs>
          <w:tab w:val="left" w:pos="-2127"/>
          <w:tab w:val="left" w:pos="-1985"/>
        </w:tabs>
        <w:jc w:val="both"/>
        <w:rPr>
          <w:rFonts w:ascii="Cambria" w:hAnsi="Cambria" w:cs="Arial"/>
          <w:sz w:val="24"/>
          <w:szCs w:val="24"/>
        </w:rPr>
      </w:pPr>
      <w:r w:rsidRPr="00AB1FE2">
        <w:rPr>
          <w:rFonts w:ascii="Cambria" w:hAnsi="Cambria" w:cs="Arial"/>
          <w:sz w:val="24"/>
          <w:szCs w:val="24"/>
        </w:rPr>
        <w:t>Copia simple del Certificado de Norma ISO 13485 o Norma específica del producto, o Certificado de Buenas Prácticas de Manufactura (BPM), vigente</w:t>
      </w:r>
    </w:p>
    <w:p w:rsidR="00E83093" w:rsidRPr="00AB1FE2" w:rsidRDefault="00E83093" w:rsidP="00E83093">
      <w:pPr>
        <w:numPr>
          <w:ilvl w:val="0"/>
          <w:numId w:val="10"/>
        </w:numPr>
        <w:tabs>
          <w:tab w:val="left" w:pos="-2127"/>
          <w:tab w:val="left" w:pos="-1985"/>
        </w:tabs>
        <w:jc w:val="both"/>
        <w:rPr>
          <w:rFonts w:ascii="Cambria" w:hAnsi="Cambria" w:cs="Arial"/>
          <w:sz w:val="24"/>
          <w:szCs w:val="24"/>
        </w:rPr>
      </w:pPr>
      <w:r w:rsidRPr="00AB1FE2">
        <w:rPr>
          <w:rFonts w:ascii="Cambria" w:hAnsi="Cambria" w:cs="Arial"/>
          <w:sz w:val="24"/>
          <w:szCs w:val="24"/>
        </w:rPr>
        <w:t>Copia simple de la Lista de empaque (</w:t>
      </w:r>
      <w:proofErr w:type="spellStart"/>
      <w:r w:rsidRPr="00AB1FE2">
        <w:rPr>
          <w:rFonts w:ascii="Cambria" w:hAnsi="Cambria" w:cs="Arial"/>
          <w:sz w:val="24"/>
          <w:szCs w:val="24"/>
        </w:rPr>
        <w:t>Packing</w:t>
      </w:r>
      <w:proofErr w:type="spellEnd"/>
      <w:r w:rsidRPr="00AB1FE2">
        <w:rPr>
          <w:rFonts w:ascii="Cambria" w:hAnsi="Cambria" w:cs="Arial"/>
          <w:sz w:val="24"/>
          <w:szCs w:val="24"/>
        </w:rPr>
        <w:t xml:space="preserve"> </w:t>
      </w:r>
      <w:proofErr w:type="spellStart"/>
      <w:r w:rsidRPr="00AB1FE2">
        <w:rPr>
          <w:rFonts w:ascii="Cambria" w:hAnsi="Cambria" w:cs="Arial"/>
          <w:sz w:val="24"/>
          <w:szCs w:val="24"/>
        </w:rPr>
        <w:t>list</w:t>
      </w:r>
      <w:proofErr w:type="spellEnd"/>
      <w:r w:rsidRPr="00AB1FE2">
        <w:rPr>
          <w:rFonts w:ascii="Cambria" w:hAnsi="Cambria" w:cs="Arial"/>
          <w:sz w:val="24"/>
          <w:szCs w:val="24"/>
        </w:rPr>
        <w:t>).</w:t>
      </w:r>
    </w:p>
    <w:p w:rsidR="00E83093" w:rsidRPr="00AB1FE2" w:rsidRDefault="00E83093" w:rsidP="00E83093">
      <w:pPr>
        <w:jc w:val="both"/>
        <w:rPr>
          <w:rFonts w:ascii="Cambria" w:hAnsi="Cambria"/>
          <w:sz w:val="24"/>
          <w:szCs w:val="24"/>
          <w:u w:val="single"/>
        </w:rPr>
      </w:pPr>
    </w:p>
    <w:p w:rsidR="00E83093" w:rsidRPr="00AB1FE2" w:rsidRDefault="00E83093" w:rsidP="00E83093">
      <w:pPr>
        <w:tabs>
          <w:tab w:val="left" w:pos="-2127"/>
          <w:tab w:val="left" w:pos="-1985"/>
        </w:tabs>
        <w:ind w:left="720"/>
        <w:jc w:val="both"/>
        <w:rPr>
          <w:rFonts w:ascii="Cambria" w:hAnsi="Cambria" w:cs="Arial"/>
          <w:sz w:val="24"/>
          <w:szCs w:val="24"/>
        </w:rPr>
      </w:pPr>
    </w:p>
    <w:p w:rsidR="00E83093" w:rsidRPr="00AB1FE2" w:rsidRDefault="00E83093" w:rsidP="00E83093">
      <w:pPr>
        <w:jc w:val="both"/>
        <w:rPr>
          <w:rFonts w:ascii="Cambria" w:hAnsi="Cambria"/>
          <w:sz w:val="24"/>
          <w:szCs w:val="24"/>
        </w:rPr>
      </w:pPr>
      <w:r w:rsidRPr="00AB1FE2">
        <w:rPr>
          <w:rFonts w:ascii="Cambria" w:hAnsi="Cambria" w:cs="Arial"/>
          <w:b/>
          <w:sz w:val="24"/>
          <w:szCs w:val="24"/>
          <w:lang w:val="es-ES"/>
        </w:rPr>
        <w:t>11.2 Recepción Administrativa</w:t>
      </w:r>
    </w:p>
    <w:p w:rsidR="00E83093" w:rsidRPr="00AB1FE2" w:rsidRDefault="00E83093" w:rsidP="00E83093">
      <w:pPr>
        <w:jc w:val="both"/>
        <w:rPr>
          <w:rFonts w:ascii="Cambria" w:hAnsi="Cambria" w:cs="Arial"/>
          <w:b/>
          <w:sz w:val="24"/>
          <w:szCs w:val="24"/>
          <w:lang w:val="es-ES"/>
        </w:rPr>
      </w:pPr>
    </w:p>
    <w:p w:rsidR="00E83093" w:rsidRPr="00AB1FE2" w:rsidRDefault="00E83093" w:rsidP="00E83093">
      <w:pPr>
        <w:jc w:val="both"/>
        <w:rPr>
          <w:rFonts w:ascii="Cambria" w:hAnsi="Cambria"/>
          <w:sz w:val="24"/>
          <w:szCs w:val="24"/>
        </w:rPr>
      </w:pPr>
      <w:r w:rsidRPr="00AB1FE2">
        <w:rPr>
          <w:rFonts w:ascii="Cambria" w:hAnsi="Cambria" w:cs="Arial"/>
          <w:sz w:val="24"/>
          <w:szCs w:val="24"/>
          <w:lang w:val="es-ES"/>
        </w:rPr>
        <w:t>A cargo de los responsables designados por la Entidad Contratante y por el Proveedor:</w:t>
      </w:r>
    </w:p>
    <w:p w:rsidR="00E83093" w:rsidRPr="00AB1FE2" w:rsidRDefault="00E83093" w:rsidP="00E83093">
      <w:pPr>
        <w:jc w:val="both"/>
        <w:rPr>
          <w:rFonts w:ascii="Cambria" w:hAnsi="Cambria" w:cs="Arial"/>
          <w:sz w:val="24"/>
          <w:szCs w:val="24"/>
          <w:lang w:val="es-ES"/>
        </w:rPr>
      </w:pPr>
    </w:p>
    <w:p w:rsidR="00E83093" w:rsidRPr="00AB1FE2" w:rsidRDefault="00E83093" w:rsidP="00E83093">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 xml:space="preserve">El Administrador del Contrato </w:t>
      </w:r>
    </w:p>
    <w:p w:rsidR="00E83093" w:rsidRPr="00AB1FE2" w:rsidRDefault="00E83093" w:rsidP="00E83093">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Un técnico que no haya intervenido en el proceso de ejecución del contrato.</w:t>
      </w:r>
    </w:p>
    <w:p w:rsidR="00E83093" w:rsidRPr="00AB1FE2" w:rsidRDefault="00E83093" w:rsidP="00E83093">
      <w:pPr>
        <w:numPr>
          <w:ilvl w:val="0"/>
          <w:numId w:val="2"/>
        </w:numPr>
        <w:tabs>
          <w:tab w:val="left" w:pos="-2127"/>
          <w:tab w:val="left" w:pos="-1985"/>
          <w:tab w:val="left" w:pos="408"/>
        </w:tabs>
        <w:ind w:hanging="153"/>
        <w:rPr>
          <w:rFonts w:ascii="Cambria" w:hAnsi="Cambria"/>
          <w:sz w:val="24"/>
          <w:szCs w:val="24"/>
        </w:rPr>
      </w:pPr>
      <w:r w:rsidRPr="00AB1FE2">
        <w:rPr>
          <w:rFonts w:ascii="Cambria" w:hAnsi="Cambria" w:cs="Arial"/>
          <w:sz w:val="24"/>
          <w:szCs w:val="24"/>
          <w:lang w:val="es-ES"/>
        </w:rPr>
        <w:t>El Contratista o su delegado, para lo cual el contratista deberá presentar los siguientes documentos: Factura, Garantía Técnica de Calidad.</w:t>
      </w:r>
    </w:p>
    <w:p w:rsidR="00E83093" w:rsidRPr="00AB1FE2" w:rsidRDefault="00E83093" w:rsidP="00E83093">
      <w:pPr>
        <w:tabs>
          <w:tab w:val="left" w:pos="-2127"/>
          <w:tab w:val="left" w:pos="-1985"/>
        </w:tabs>
        <w:ind w:left="3960"/>
        <w:rPr>
          <w:rFonts w:ascii="Cambria" w:eastAsia="Arial" w:hAnsi="Cambria" w:cs="Arial"/>
          <w:sz w:val="24"/>
          <w:szCs w:val="24"/>
          <w:lang w:val="es-ES"/>
        </w:rPr>
      </w:pPr>
    </w:p>
    <w:p w:rsidR="00E83093" w:rsidRPr="00AB1FE2" w:rsidRDefault="00E83093" w:rsidP="00E83093">
      <w:pPr>
        <w:jc w:val="both"/>
        <w:rPr>
          <w:rFonts w:ascii="Cambria" w:hAnsi="Cambria"/>
          <w:sz w:val="24"/>
          <w:szCs w:val="24"/>
        </w:rPr>
      </w:pPr>
      <w:r w:rsidRPr="00AB1FE2">
        <w:rPr>
          <w:rFonts w:ascii="Cambria" w:hAnsi="Cambria" w:cs="Arial"/>
          <w:sz w:val="24"/>
          <w:szCs w:val="24"/>
          <w:lang w:val="es-ES"/>
        </w:rPr>
        <w:t>Las actas de entrega-recepción serán suscritas por el personal designado por la entidad contratante de la recepción administrativa de conformidad a lo establecido en el Art. 124 del Reglamento General de la Ley Orgánica del Sistema Nacional de Contratación Pública.</w:t>
      </w:r>
    </w:p>
    <w:p w:rsidR="00E83093" w:rsidRPr="00AB1FE2" w:rsidRDefault="00E83093" w:rsidP="00E83093">
      <w:pPr>
        <w:jc w:val="both"/>
        <w:rPr>
          <w:rFonts w:ascii="Cambria" w:hAnsi="Cambria" w:cs="Arial"/>
          <w:sz w:val="24"/>
          <w:szCs w:val="24"/>
          <w:lang w:val="es-ES"/>
        </w:rPr>
      </w:pPr>
    </w:p>
    <w:p w:rsidR="00E83093" w:rsidRPr="00AB1FE2" w:rsidRDefault="00E83093" w:rsidP="00E83093">
      <w:pPr>
        <w:pStyle w:val="Prrafodelista1"/>
        <w:rPr>
          <w:rFonts w:ascii="Cambria" w:hAnsi="Cambria"/>
          <w:sz w:val="24"/>
          <w:szCs w:val="24"/>
        </w:rPr>
      </w:pPr>
      <w:r w:rsidRPr="00AB1FE2">
        <w:rPr>
          <w:rFonts w:ascii="Cambria" w:hAnsi="Cambria" w:cs="Arial"/>
          <w:b/>
          <w:sz w:val="24"/>
          <w:szCs w:val="24"/>
          <w:lang w:val="es-ES"/>
        </w:rPr>
        <w:t>12. Parámetros de calificación de la oferta</w:t>
      </w:r>
    </w:p>
    <w:p w:rsidR="00E83093" w:rsidRPr="00AB1FE2" w:rsidRDefault="00E83093" w:rsidP="00E83093">
      <w:pPr>
        <w:rPr>
          <w:rFonts w:ascii="Cambria" w:hAnsi="Cambria" w:cs="Arial"/>
          <w:b/>
          <w:sz w:val="24"/>
          <w:szCs w:val="24"/>
          <w:lang w:val="es-ES"/>
        </w:rPr>
      </w:pPr>
    </w:p>
    <w:tbl>
      <w:tblPr>
        <w:tblW w:w="0" w:type="auto"/>
        <w:tblInd w:w="38" w:type="dxa"/>
        <w:tblLayout w:type="fixed"/>
        <w:tblCellMar>
          <w:left w:w="38" w:type="dxa"/>
        </w:tblCellMar>
        <w:tblLook w:val="0000" w:firstRow="0" w:lastRow="0" w:firstColumn="0" w:lastColumn="0" w:noHBand="0" w:noVBand="0"/>
      </w:tblPr>
      <w:tblGrid>
        <w:gridCol w:w="3570"/>
        <w:gridCol w:w="2972"/>
      </w:tblGrid>
      <w:tr w:rsidR="00E83093" w:rsidRPr="00AB1FE2" w:rsidTr="00F320B6">
        <w:tc>
          <w:tcPr>
            <w:tcW w:w="3570" w:type="dxa"/>
            <w:tcBorders>
              <w:top w:val="single" w:sz="4" w:space="0" w:color="000000"/>
              <w:left w:val="single" w:sz="4" w:space="0" w:color="000000"/>
              <w:bottom w:val="single" w:sz="4" w:space="0" w:color="000000"/>
            </w:tcBorders>
            <w:shd w:val="clear" w:color="auto" w:fill="FFFFFF"/>
          </w:tcPr>
          <w:p w:rsidR="00E83093" w:rsidRPr="00AB1FE2" w:rsidRDefault="00E83093" w:rsidP="00F320B6">
            <w:pPr>
              <w:jc w:val="center"/>
              <w:rPr>
                <w:rFonts w:ascii="Cambria" w:hAnsi="Cambria"/>
                <w:sz w:val="24"/>
                <w:szCs w:val="24"/>
              </w:rPr>
            </w:pPr>
            <w:r w:rsidRPr="00AB1FE2">
              <w:rPr>
                <w:rFonts w:ascii="Cambria" w:hAnsi="Cambria" w:cs="Arial"/>
                <w:b/>
                <w:spacing w:val="-2"/>
                <w:sz w:val="24"/>
                <w:szCs w:val="24"/>
              </w:rPr>
              <w:t>Parámetro</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E83093" w:rsidRPr="00AB1FE2" w:rsidRDefault="00E83093" w:rsidP="00F320B6">
            <w:pPr>
              <w:jc w:val="center"/>
              <w:rPr>
                <w:rFonts w:ascii="Cambria" w:hAnsi="Cambria"/>
                <w:sz w:val="24"/>
                <w:szCs w:val="24"/>
              </w:rPr>
            </w:pPr>
            <w:r w:rsidRPr="00AB1FE2">
              <w:rPr>
                <w:rFonts w:ascii="Cambria" w:hAnsi="Cambria" w:cs="Arial"/>
                <w:b/>
                <w:spacing w:val="-2"/>
                <w:sz w:val="24"/>
                <w:szCs w:val="24"/>
              </w:rPr>
              <w:t>Cumple/No cumple</w:t>
            </w:r>
          </w:p>
        </w:tc>
      </w:tr>
      <w:tr w:rsidR="00E83093" w:rsidRPr="00AB1FE2" w:rsidTr="00F320B6">
        <w:tc>
          <w:tcPr>
            <w:tcW w:w="3570" w:type="dxa"/>
            <w:tcBorders>
              <w:top w:val="single" w:sz="4" w:space="0" w:color="000000"/>
              <w:left w:val="single" w:sz="4" w:space="0" w:color="000000"/>
              <w:bottom w:val="single" w:sz="4" w:space="0" w:color="000000"/>
            </w:tcBorders>
            <w:shd w:val="clear" w:color="auto" w:fill="FFFFFF"/>
          </w:tcPr>
          <w:p w:rsidR="00E83093" w:rsidRPr="00AB1FE2" w:rsidRDefault="00E83093" w:rsidP="00F320B6">
            <w:pPr>
              <w:jc w:val="both"/>
              <w:rPr>
                <w:rFonts w:ascii="Cambria" w:hAnsi="Cambria"/>
                <w:sz w:val="24"/>
                <w:szCs w:val="24"/>
              </w:rPr>
            </w:pPr>
            <w:r w:rsidRPr="00AB1FE2">
              <w:rPr>
                <w:rFonts w:ascii="Cambria" w:hAnsi="Cambria" w:cs="Arial"/>
                <w:spacing w:val="-2"/>
                <w:sz w:val="24"/>
                <w:szCs w:val="24"/>
              </w:rPr>
              <w:lastRenderedPageBreak/>
              <w:t>Oferta económica</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E83093" w:rsidRPr="00AB1FE2" w:rsidRDefault="00E83093" w:rsidP="00F320B6">
            <w:pPr>
              <w:snapToGrid w:val="0"/>
              <w:rPr>
                <w:rFonts w:ascii="Cambria" w:hAnsi="Cambria" w:cs="Arial"/>
                <w:spacing w:val="-2"/>
                <w:sz w:val="24"/>
                <w:szCs w:val="24"/>
              </w:rPr>
            </w:pPr>
          </w:p>
        </w:tc>
      </w:tr>
      <w:tr w:rsidR="00E83093" w:rsidRPr="00AB1FE2" w:rsidTr="00F320B6">
        <w:tc>
          <w:tcPr>
            <w:tcW w:w="3570" w:type="dxa"/>
            <w:tcBorders>
              <w:top w:val="single" w:sz="4" w:space="0" w:color="000000"/>
              <w:left w:val="single" w:sz="4" w:space="0" w:color="000000"/>
              <w:bottom w:val="single" w:sz="4" w:space="0" w:color="000000"/>
            </w:tcBorders>
            <w:shd w:val="clear" w:color="auto" w:fill="FFFFFF"/>
          </w:tcPr>
          <w:p w:rsidR="00E83093" w:rsidRPr="00AB1FE2" w:rsidRDefault="00E83093" w:rsidP="00F320B6">
            <w:pPr>
              <w:jc w:val="both"/>
              <w:rPr>
                <w:rFonts w:ascii="Cambria" w:hAnsi="Cambria"/>
                <w:sz w:val="24"/>
                <w:szCs w:val="24"/>
              </w:rPr>
            </w:pPr>
            <w:r w:rsidRPr="00AB1FE2">
              <w:rPr>
                <w:rFonts w:ascii="Cambria" w:hAnsi="Cambria" w:cs="Arial"/>
                <w:spacing w:val="-2"/>
                <w:sz w:val="24"/>
                <w:szCs w:val="24"/>
              </w:rPr>
              <w:t>Cumplimiento de especificaciones técnicas</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E83093" w:rsidRPr="00AB1FE2" w:rsidRDefault="00E83093" w:rsidP="00F320B6">
            <w:pPr>
              <w:snapToGrid w:val="0"/>
              <w:rPr>
                <w:rFonts w:ascii="Cambria" w:hAnsi="Cambria" w:cs="Arial"/>
                <w:spacing w:val="-2"/>
                <w:sz w:val="24"/>
                <w:szCs w:val="24"/>
              </w:rPr>
            </w:pPr>
          </w:p>
        </w:tc>
      </w:tr>
      <w:tr w:rsidR="00E83093" w:rsidRPr="00AB1FE2" w:rsidTr="00F320B6">
        <w:tc>
          <w:tcPr>
            <w:tcW w:w="3570" w:type="dxa"/>
            <w:tcBorders>
              <w:top w:val="single" w:sz="4" w:space="0" w:color="000000"/>
              <w:left w:val="single" w:sz="4" w:space="0" w:color="000000"/>
              <w:bottom w:val="single" w:sz="4" w:space="0" w:color="000000"/>
            </w:tcBorders>
            <w:shd w:val="clear" w:color="auto" w:fill="FFFFFF"/>
          </w:tcPr>
          <w:p w:rsidR="00E83093" w:rsidRPr="00AB1FE2" w:rsidRDefault="00E83093" w:rsidP="00F320B6">
            <w:pPr>
              <w:jc w:val="both"/>
              <w:rPr>
                <w:rFonts w:ascii="Cambria" w:hAnsi="Cambria"/>
                <w:sz w:val="24"/>
                <w:szCs w:val="24"/>
              </w:rPr>
            </w:pPr>
            <w:r w:rsidRPr="00AB1FE2">
              <w:rPr>
                <w:rFonts w:ascii="Cambria" w:hAnsi="Cambria" w:cs="Arial"/>
                <w:spacing w:val="-2"/>
                <w:sz w:val="24"/>
                <w:szCs w:val="24"/>
              </w:rPr>
              <w:t>Tiempos de entrega</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E83093" w:rsidRPr="00AB1FE2" w:rsidRDefault="00E83093" w:rsidP="00F320B6">
            <w:pPr>
              <w:snapToGrid w:val="0"/>
              <w:rPr>
                <w:rFonts w:ascii="Cambria" w:hAnsi="Cambria" w:cs="Arial"/>
                <w:spacing w:val="-2"/>
                <w:sz w:val="24"/>
                <w:szCs w:val="24"/>
              </w:rPr>
            </w:pPr>
          </w:p>
        </w:tc>
      </w:tr>
      <w:tr w:rsidR="003E5342" w:rsidRPr="00AB1FE2" w:rsidTr="00F320B6">
        <w:tc>
          <w:tcPr>
            <w:tcW w:w="3570" w:type="dxa"/>
            <w:tcBorders>
              <w:top w:val="single" w:sz="4" w:space="0" w:color="000000"/>
              <w:left w:val="single" w:sz="4" w:space="0" w:color="000000"/>
              <w:bottom w:val="single" w:sz="4" w:space="0" w:color="000000"/>
            </w:tcBorders>
            <w:shd w:val="clear" w:color="auto" w:fill="FFFFFF"/>
          </w:tcPr>
          <w:p w:rsidR="003E5342" w:rsidRPr="00AB1FE2" w:rsidRDefault="003E5342" w:rsidP="00F320B6">
            <w:pPr>
              <w:jc w:val="both"/>
              <w:rPr>
                <w:rFonts w:ascii="Cambria" w:hAnsi="Cambria" w:cs="Arial"/>
                <w:spacing w:val="-2"/>
                <w:sz w:val="24"/>
                <w:szCs w:val="24"/>
              </w:rPr>
            </w:pPr>
            <w:r w:rsidRPr="00AB1FE2">
              <w:rPr>
                <w:rFonts w:ascii="Cambria" w:hAnsi="Cambria" w:cs="Arial"/>
                <w:spacing w:val="-2"/>
                <w:sz w:val="24"/>
                <w:szCs w:val="24"/>
              </w:rPr>
              <w:t>Habilitación del RUP</w:t>
            </w:r>
          </w:p>
        </w:tc>
        <w:tc>
          <w:tcPr>
            <w:tcW w:w="2972" w:type="dxa"/>
            <w:tcBorders>
              <w:top w:val="single" w:sz="4" w:space="0" w:color="000000"/>
              <w:left w:val="single" w:sz="4" w:space="0" w:color="000000"/>
              <w:bottom w:val="single" w:sz="4" w:space="0" w:color="000000"/>
              <w:right w:val="single" w:sz="4" w:space="0" w:color="000000"/>
            </w:tcBorders>
            <w:shd w:val="clear" w:color="auto" w:fill="A6A6A6"/>
          </w:tcPr>
          <w:p w:rsidR="003E5342" w:rsidRPr="00AB1FE2" w:rsidRDefault="003E5342" w:rsidP="00F320B6">
            <w:pPr>
              <w:snapToGrid w:val="0"/>
              <w:rPr>
                <w:rFonts w:ascii="Cambria" w:hAnsi="Cambria" w:cs="Arial"/>
                <w:spacing w:val="-2"/>
                <w:sz w:val="24"/>
                <w:szCs w:val="24"/>
              </w:rPr>
            </w:pPr>
          </w:p>
        </w:tc>
      </w:tr>
    </w:tbl>
    <w:p w:rsidR="00E83093" w:rsidRPr="00AB1FE2" w:rsidRDefault="00E83093" w:rsidP="00E83093">
      <w:pPr>
        <w:rPr>
          <w:rFonts w:ascii="Cambria" w:hAnsi="Cambria" w:cs="Arial"/>
          <w:sz w:val="24"/>
          <w:szCs w:val="24"/>
        </w:rPr>
      </w:pPr>
    </w:p>
    <w:p w:rsidR="00E83093" w:rsidRPr="00AB1FE2" w:rsidRDefault="00E83093" w:rsidP="00E83093">
      <w:pPr>
        <w:rPr>
          <w:rFonts w:ascii="Cambria" w:hAnsi="Cambria"/>
          <w:sz w:val="24"/>
          <w:szCs w:val="24"/>
        </w:rPr>
      </w:pPr>
      <w:r w:rsidRPr="00AB1FE2">
        <w:rPr>
          <w:rFonts w:ascii="Cambria" w:hAnsi="Cambria" w:cs="Arial"/>
          <w:b/>
          <w:bCs/>
          <w:sz w:val="24"/>
          <w:szCs w:val="24"/>
        </w:rPr>
        <w:t>13. Garantías</w:t>
      </w:r>
    </w:p>
    <w:p w:rsidR="00E83093" w:rsidRPr="00AB1FE2" w:rsidRDefault="00E83093" w:rsidP="00E83093">
      <w:pPr>
        <w:rPr>
          <w:rFonts w:ascii="Cambria" w:hAnsi="Cambria" w:cs="Arial"/>
          <w:b/>
          <w:bCs/>
          <w:sz w:val="24"/>
          <w:szCs w:val="24"/>
        </w:rPr>
      </w:pPr>
    </w:p>
    <w:p w:rsidR="00E83093" w:rsidRPr="00AB1FE2" w:rsidRDefault="00E83093" w:rsidP="00E83093">
      <w:pPr>
        <w:rPr>
          <w:rFonts w:ascii="Cambria" w:hAnsi="Cambria"/>
          <w:sz w:val="24"/>
          <w:szCs w:val="24"/>
        </w:rPr>
      </w:pPr>
      <w:r w:rsidRPr="00AB1FE2">
        <w:rPr>
          <w:rFonts w:ascii="Cambria" w:hAnsi="Cambria" w:cs="Arial"/>
          <w:b/>
          <w:bCs/>
          <w:sz w:val="24"/>
          <w:szCs w:val="24"/>
        </w:rPr>
        <w:t xml:space="preserve">13.1 Garantía de </w:t>
      </w:r>
      <w:r w:rsidR="003E5342" w:rsidRPr="00AB1FE2">
        <w:rPr>
          <w:rFonts w:ascii="Cambria" w:hAnsi="Cambria" w:cs="Arial"/>
          <w:b/>
          <w:bCs/>
          <w:sz w:val="24"/>
          <w:szCs w:val="24"/>
        </w:rPr>
        <w:t xml:space="preserve">Técnica de </w:t>
      </w:r>
      <w:r w:rsidRPr="00AB1FE2">
        <w:rPr>
          <w:rFonts w:ascii="Cambria" w:hAnsi="Cambria" w:cs="Arial"/>
          <w:b/>
          <w:bCs/>
          <w:sz w:val="24"/>
          <w:szCs w:val="24"/>
        </w:rPr>
        <w:t>calidad</w:t>
      </w:r>
    </w:p>
    <w:p w:rsidR="00E83093" w:rsidRPr="00AB1FE2" w:rsidRDefault="00E83093" w:rsidP="00E83093">
      <w:pPr>
        <w:rPr>
          <w:rFonts w:ascii="Cambria" w:hAnsi="Cambria" w:cs="Arial"/>
          <w:b/>
          <w:bCs/>
          <w:sz w:val="24"/>
          <w:szCs w:val="24"/>
          <w:lang w:val="es-ES"/>
        </w:rPr>
      </w:pPr>
    </w:p>
    <w:p w:rsidR="00E83093" w:rsidRPr="00AB1FE2" w:rsidRDefault="00E83093" w:rsidP="00E83093">
      <w:pPr>
        <w:tabs>
          <w:tab w:val="left" w:pos="-720"/>
        </w:tabs>
        <w:jc w:val="both"/>
        <w:rPr>
          <w:rFonts w:ascii="Cambria" w:hAnsi="Cambria"/>
          <w:sz w:val="24"/>
          <w:szCs w:val="24"/>
        </w:rPr>
      </w:pPr>
      <w:r w:rsidRPr="00AB1FE2">
        <w:rPr>
          <w:rFonts w:ascii="Cambria" w:hAnsi="Cambria" w:cs="Arial"/>
          <w:sz w:val="24"/>
          <w:szCs w:val="24"/>
          <w:lang w:val="es-ES" w:eastAsia="es-ES"/>
        </w:rPr>
        <w:t xml:space="preserve">Se requiere Garantía Técnica de Calidad la cual debe estar vigente durante el período de vida útil del </w:t>
      </w:r>
      <w:r w:rsidRPr="00AB1FE2">
        <w:rPr>
          <w:rFonts w:ascii="Cambria" w:hAnsi="Cambria" w:cs="Arial"/>
          <w:spacing w:val="-2"/>
          <w:sz w:val="24"/>
          <w:szCs w:val="24"/>
          <w:lang w:val="es-ES"/>
        </w:rPr>
        <w:t>dispositivo médico.</w:t>
      </w:r>
    </w:p>
    <w:p w:rsidR="00E83093" w:rsidRPr="00AB1FE2" w:rsidRDefault="00E83093" w:rsidP="00E83093">
      <w:pPr>
        <w:tabs>
          <w:tab w:val="left" w:pos="-720"/>
        </w:tabs>
        <w:jc w:val="both"/>
        <w:rPr>
          <w:rFonts w:ascii="Cambria" w:hAnsi="Cambria" w:cs="Arial"/>
          <w:b/>
          <w:sz w:val="24"/>
          <w:szCs w:val="24"/>
          <w:lang w:val="es-ES"/>
        </w:rPr>
      </w:pPr>
    </w:p>
    <w:p w:rsidR="00E83093" w:rsidRPr="00AB1FE2" w:rsidRDefault="00E83093" w:rsidP="00E83093">
      <w:pPr>
        <w:tabs>
          <w:tab w:val="left" w:pos="-720"/>
        </w:tabs>
        <w:rPr>
          <w:rFonts w:ascii="Cambria" w:hAnsi="Cambria"/>
          <w:sz w:val="24"/>
          <w:szCs w:val="24"/>
        </w:rPr>
      </w:pPr>
      <w:r w:rsidRPr="00AB1FE2">
        <w:rPr>
          <w:rFonts w:ascii="Cambria" w:hAnsi="Cambria" w:cs="Arial"/>
          <w:b/>
          <w:sz w:val="24"/>
          <w:szCs w:val="24"/>
          <w:lang w:val="es-ES"/>
        </w:rPr>
        <w:t>13.2 Garantía de fiel cumplimiento</w:t>
      </w:r>
    </w:p>
    <w:p w:rsidR="00E83093" w:rsidRPr="00AB1FE2" w:rsidRDefault="00E83093" w:rsidP="00E83093">
      <w:pPr>
        <w:tabs>
          <w:tab w:val="left" w:pos="-720"/>
        </w:tabs>
        <w:rPr>
          <w:rFonts w:ascii="Cambria" w:hAnsi="Cambria" w:cs="Arial"/>
          <w:b/>
          <w:sz w:val="24"/>
          <w:szCs w:val="24"/>
          <w:highlight w:val="red"/>
          <w:lang w:val="es-ES"/>
        </w:rPr>
      </w:pPr>
    </w:p>
    <w:p w:rsidR="00E83093" w:rsidRPr="00AB1FE2" w:rsidRDefault="00E83093" w:rsidP="00E83093">
      <w:pPr>
        <w:tabs>
          <w:tab w:val="left" w:pos="-720"/>
        </w:tabs>
        <w:jc w:val="both"/>
        <w:rPr>
          <w:rFonts w:ascii="Cambria" w:hAnsi="Cambria"/>
          <w:sz w:val="24"/>
          <w:szCs w:val="24"/>
        </w:rPr>
      </w:pPr>
      <w:r w:rsidRPr="00AB1FE2">
        <w:rPr>
          <w:rFonts w:ascii="Cambria" w:eastAsia="Arial" w:hAnsi="Cambria" w:cs="Arial"/>
          <w:i/>
          <w:sz w:val="24"/>
          <w:szCs w:val="24"/>
          <w:lang w:val="es-ES"/>
        </w:rPr>
        <w:t>“</w:t>
      </w:r>
      <w:r w:rsidRPr="00AB1FE2">
        <w:rPr>
          <w:rFonts w:ascii="Cambria" w:hAnsi="Cambria" w:cs="Arial"/>
          <w:i/>
          <w:sz w:val="24"/>
          <w:szCs w:val="24"/>
          <w:lang w:val="es-ES"/>
        </w:rPr>
        <w:t xml:space="preserve">Para seguridad del cumplimiento del contrato y para responder por las obligaciones que contrajeren a favor de terceros, relacionadas con el contrato, el adjudicatario, antes o al momento de la firma del contrato, rendirá garantías por un monto equivalente al cinco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 </w:t>
      </w:r>
    </w:p>
    <w:p w:rsidR="00E83093" w:rsidRPr="00AB1FE2" w:rsidRDefault="00E83093" w:rsidP="00E83093">
      <w:pPr>
        <w:tabs>
          <w:tab w:val="left" w:pos="-720"/>
        </w:tabs>
        <w:jc w:val="both"/>
        <w:rPr>
          <w:rFonts w:ascii="Cambria" w:hAnsi="Cambria" w:cs="Arial"/>
          <w:sz w:val="24"/>
          <w:szCs w:val="24"/>
          <w:lang w:val="es-ES"/>
        </w:rPr>
      </w:pPr>
    </w:p>
    <w:p w:rsidR="00E83093" w:rsidRPr="00AB1FE2" w:rsidRDefault="00E83093" w:rsidP="00E83093">
      <w:pPr>
        <w:tabs>
          <w:tab w:val="left" w:pos="-720"/>
        </w:tabs>
        <w:jc w:val="both"/>
        <w:rPr>
          <w:rFonts w:ascii="Cambria" w:hAnsi="Cambria"/>
          <w:sz w:val="24"/>
          <w:szCs w:val="24"/>
        </w:rPr>
      </w:pPr>
      <w:r w:rsidRPr="00AB1FE2">
        <w:rPr>
          <w:rFonts w:ascii="Cambria" w:eastAsia="Arial" w:hAnsi="Cambria" w:cs="Arial"/>
          <w:i/>
          <w:iCs/>
          <w:sz w:val="24"/>
          <w:szCs w:val="24"/>
          <w:lang w:val="es-ES"/>
        </w:rPr>
        <w:t>“</w:t>
      </w:r>
      <w:r w:rsidRPr="00AB1FE2">
        <w:rPr>
          <w:rFonts w:ascii="Cambria" w:hAnsi="Cambria" w:cs="Arial"/>
          <w:i/>
          <w:iCs/>
          <w:sz w:val="24"/>
          <w:szCs w:val="24"/>
          <w:lang w:val="es-ES"/>
        </w:rPr>
        <w:t>(…) No se exigirá este tipo de garantía en los contratos compra venta de bienes inmuebles y de adquisición de bienes muebles que se entreguen al momento de efectuarse el pago.”</w:t>
      </w:r>
    </w:p>
    <w:p w:rsidR="00E83093" w:rsidRPr="00AB1FE2" w:rsidRDefault="00E83093" w:rsidP="00E83093">
      <w:pPr>
        <w:pStyle w:val="Prrafodelista1"/>
        <w:jc w:val="both"/>
        <w:rPr>
          <w:rFonts w:ascii="Cambria" w:hAnsi="Cambria" w:cs="Arial"/>
          <w:b/>
          <w:i/>
          <w:spacing w:val="-2"/>
          <w:sz w:val="24"/>
          <w:szCs w:val="24"/>
          <w:lang w:val="es-ES"/>
        </w:rPr>
      </w:pPr>
    </w:p>
    <w:p w:rsidR="00E83093" w:rsidRPr="00AB1FE2" w:rsidRDefault="00E83093" w:rsidP="00E83093">
      <w:pPr>
        <w:pStyle w:val="Prrafodelista1"/>
        <w:jc w:val="both"/>
        <w:rPr>
          <w:rFonts w:ascii="Cambria" w:hAnsi="Cambria"/>
          <w:sz w:val="24"/>
          <w:szCs w:val="24"/>
        </w:rPr>
      </w:pPr>
      <w:r w:rsidRPr="00AB1FE2">
        <w:rPr>
          <w:rFonts w:ascii="Cambria" w:hAnsi="Cambria" w:cs="Arial"/>
          <w:spacing w:val="-2"/>
          <w:sz w:val="24"/>
          <w:szCs w:val="24"/>
          <w:lang w:val="es-ES"/>
        </w:rPr>
        <w:t xml:space="preserve">Por lo expuesto y en razón de que, para la presente adquisición se ha establecido una entrega y que una vez recibido el producto a conformidad previo informe del administrador del contrato se procederá con el pago correspondiente, </w:t>
      </w:r>
      <w:r w:rsidRPr="00AB1FE2">
        <w:rPr>
          <w:rFonts w:ascii="Cambria" w:hAnsi="Cambria" w:cs="Arial"/>
          <w:b/>
          <w:bCs/>
          <w:i/>
          <w:iCs/>
          <w:spacing w:val="-2"/>
          <w:sz w:val="24"/>
          <w:szCs w:val="24"/>
          <w:lang w:val="es-ES"/>
        </w:rPr>
        <w:t>no se requiere “Garantía de fiel cumplimiento”.</w:t>
      </w:r>
    </w:p>
    <w:p w:rsidR="00E83093" w:rsidRPr="00AB1FE2" w:rsidRDefault="00E83093" w:rsidP="00E83093">
      <w:pPr>
        <w:rPr>
          <w:rFonts w:ascii="Cambria" w:hAnsi="Cambria" w:cs="Arial"/>
          <w:b/>
          <w:spacing w:val="-2"/>
          <w:sz w:val="24"/>
          <w:szCs w:val="24"/>
          <w:lang w:val="es-ES"/>
        </w:rPr>
      </w:pPr>
    </w:p>
    <w:p w:rsidR="00E83093" w:rsidRPr="00AB1FE2" w:rsidRDefault="00E83093" w:rsidP="00E83093">
      <w:pPr>
        <w:rPr>
          <w:rFonts w:ascii="Cambria" w:hAnsi="Cambria"/>
          <w:sz w:val="24"/>
          <w:szCs w:val="24"/>
        </w:rPr>
      </w:pPr>
      <w:r w:rsidRPr="00AB1FE2">
        <w:rPr>
          <w:rFonts w:ascii="Cambria" w:hAnsi="Cambria" w:cs="Arial"/>
          <w:b/>
          <w:spacing w:val="-2"/>
          <w:sz w:val="24"/>
          <w:szCs w:val="24"/>
          <w:lang w:val="es-ES"/>
        </w:rPr>
        <w:t>14. Multas</w:t>
      </w:r>
    </w:p>
    <w:p w:rsidR="00E83093" w:rsidRPr="00AB1FE2" w:rsidRDefault="00E83093" w:rsidP="00E83093">
      <w:pPr>
        <w:pStyle w:val="Prrafodelista1"/>
        <w:rPr>
          <w:rFonts w:ascii="Cambria" w:hAnsi="Cambria" w:cs="Arial"/>
          <w:b/>
          <w:spacing w:val="-2"/>
          <w:sz w:val="24"/>
          <w:szCs w:val="24"/>
          <w:lang w:val="es-ES"/>
        </w:rPr>
      </w:pPr>
    </w:p>
    <w:p w:rsidR="00E83093" w:rsidRPr="00AB1FE2" w:rsidRDefault="00E83093" w:rsidP="00E83093">
      <w:pPr>
        <w:pStyle w:val="Prrafodelista1"/>
        <w:jc w:val="both"/>
        <w:rPr>
          <w:rFonts w:ascii="Cambria" w:hAnsi="Cambria"/>
          <w:sz w:val="24"/>
          <w:szCs w:val="24"/>
        </w:rPr>
      </w:pPr>
      <w:r w:rsidRPr="00AB1FE2">
        <w:rPr>
          <w:rFonts w:ascii="Cambria" w:hAnsi="Cambria" w:cs="Arial"/>
          <w:spacing w:val="-2"/>
          <w:sz w:val="24"/>
          <w:szCs w:val="24"/>
          <w:lang w:val="es-ES"/>
        </w:rPr>
        <w:t xml:space="preserve">Por cada día de retardo en la ejecución de las obligaciones contractuales, se aplicará una multa equivalente a la cantidad del uno por mil (1 por 1.000) sobre </w:t>
      </w:r>
      <w:r w:rsidRPr="00AB1FE2">
        <w:rPr>
          <w:rFonts w:ascii="Cambria" w:hAnsi="Cambria" w:cs="Arial"/>
          <w:i/>
          <w:iCs/>
          <w:spacing w:val="-2"/>
          <w:sz w:val="24"/>
          <w:szCs w:val="24"/>
          <w:lang w:val="es-ES"/>
        </w:rPr>
        <w:t>“(…) el porcentaje de las obligaciones que se encuentran pendientes de ejecutarse conforme lo establecido en el contrato (...)”</w:t>
      </w:r>
      <w:r w:rsidRPr="00AB1FE2">
        <w:rPr>
          <w:rFonts w:ascii="Cambria" w:hAnsi="Cambria" w:cs="Arial"/>
          <w:spacing w:val="-2"/>
          <w:sz w:val="24"/>
          <w:szCs w:val="24"/>
          <w:lang w:val="es-ES"/>
        </w:rPr>
        <w:t>(10), excepto en el evento de caso fortuito o fuerza mayor, conforme lo dispuesto en el artículo 30 de la Codificación del Código Civil, debidamente comprobado y aceptado por el CONTRATANTE, para lo cual se notificará a la entidad dentro de los dos días término subsiguientes de ocurridos los hechos. Una vez transcurridos este tiempo, de no mediar dicha notificación, se entenderá como no ocurridos los hechos que alegue la CONTRATISTA como causa para la no ejecución de la provisión del servicio y se le impondrá la multa prevista anteriormente. Dichas multas no serán revisadas ni devueltas por ningún concepto.</w:t>
      </w:r>
    </w:p>
    <w:p w:rsidR="00E83093" w:rsidRPr="00AB1FE2" w:rsidRDefault="00E83093" w:rsidP="00E83093">
      <w:pPr>
        <w:rPr>
          <w:rFonts w:ascii="Cambria" w:hAnsi="Cambria" w:cs="Arial"/>
          <w:sz w:val="24"/>
          <w:szCs w:val="24"/>
          <w:lang w:val="es-ES"/>
        </w:rPr>
      </w:pPr>
    </w:p>
    <w:p w:rsidR="00E83093" w:rsidRPr="00AB1FE2" w:rsidRDefault="00E83093" w:rsidP="00E83093">
      <w:pPr>
        <w:rPr>
          <w:rFonts w:ascii="Cambria" w:hAnsi="Cambria"/>
          <w:sz w:val="24"/>
          <w:szCs w:val="24"/>
        </w:rPr>
      </w:pPr>
      <w:r w:rsidRPr="00AB1FE2">
        <w:rPr>
          <w:rFonts w:ascii="Cambria" w:hAnsi="Cambria" w:cs="Arial"/>
          <w:b/>
          <w:sz w:val="24"/>
          <w:szCs w:val="24"/>
          <w:lang w:val="es-ES" w:eastAsia="es-ES"/>
        </w:rPr>
        <w:lastRenderedPageBreak/>
        <w:t>15. Vigencia de la oferta</w:t>
      </w:r>
    </w:p>
    <w:p w:rsidR="00E83093" w:rsidRPr="00AB1FE2" w:rsidRDefault="00E83093" w:rsidP="00E83093">
      <w:pPr>
        <w:jc w:val="both"/>
        <w:rPr>
          <w:rFonts w:ascii="Cambria" w:hAnsi="Cambria" w:cs="Arial"/>
          <w:b/>
          <w:sz w:val="24"/>
          <w:szCs w:val="24"/>
          <w:lang w:val="es-ES" w:eastAsia="es-ES"/>
        </w:rPr>
      </w:pPr>
    </w:p>
    <w:p w:rsidR="00E83093" w:rsidRPr="00AB1FE2" w:rsidRDefault="00E83093" w:rsidP="00E83093">
      <w:pPr>
        <w:jc w:val="both"/>
        <w:rPr>
          <w:rFonts w:ascii="Cambria" w:hAnsi="Cambria"/>
          <w:sz w:val="24"/>
          <w:szCs w:val="24"/>
        </w:rPr>
      </w:pPr>
      <w:r w:rsidRPr="00AB1FE2">
        <w:rPr>
          <w:rFonts w:ascii="Cambria" w:hAnsi="Cambria" w:cs="Arial"/>
          <w:sz w:val="24"/>
          <w:szCs w:val="24"/>
          <w:lang w:val="es-ES" w:eastAsia="es-ES"/>
        </w:rPr>
        <w:t xml:space="preserve">La oferta deberá estar vigente por (30) </w:t>
      </w:r>
      <w:r w:rsidR="004E4CD2">
        <w:rPr>
          <w:rFonts w:ascii="Cambria" w:hAnsi="Cambria" w:cs="Arial"/>
          <w:sz w:val="24"/>
          <w:szCs w:val="24"/>
          <w:lang w:val="es-ES" w:eastAsia="es-ES"/>
        </w:rPr>
        <w:t>treinta</w:t>
      </w:r>
      <w:r w:rsidRPr="00AB1FE2">
        <w:rPr>
          <w:rFonts w:ascii="Cambria" w:hAnsi="Cambria" w:cs="Arial"/>
          <w:sz w:val="24"/>
          <w:szCs w:val="24"/>
          <w:lang w:val="es-ES" w:eastAsia="es-ES"/>
        </w:rPr>
        <w:t xml:space="preserve"> días.</w:t>
      </w:r>
    </w:p>
    <w:p w:rsidR="00E83093" w:rsidRPr="00AB1FE2" w:rsidRDefault="00E83093" w:rsidP="00E83093">
      <w:pPr>
        <w:jc w:val="both"/>
        <w:rPr>
          <w:rFonts w:ascii="Cambria" w:hAnsi="Cambria" w:cs="Arial"/>
          <w:b/>
          <w:sz w:val="24"/>
          <w:szCs w:val="24"/>
          <w:lang w:val="es-ES"/>
        </w:rPr>
      </w:pPr>
    </w:p>
    <w:p w:rsidR="00E83093" w:rsidRPr="00AB1FE2" w:rsidRDefault="00E83093" w:rsidP="00E83093">
      <w:pPr>
        <w:rPr>
          <w:rFonts w:ascii="Cambria" w:hAnsi="Cambria"/>
          <w:sz w:val="24"/>
          <w:szCs w:val="24"/>
        </w:rPr>
      </w:pPr>
      <w:r w:rsidRPr="00AB1FE2">
        <w:rPr>
          <w:rFonts w:ascii="Cambria" w:hAnsi="Cambria" w:cs="Arial"/>
          <w:b/>
          <w:sz w:val="24"/>
          <w:szCs w:val="24"/>
          <w:lang w:val="es-ES"/>
        </w:rPr>
        <w:t xml:space="preserve">16. Administración del contrato </w:t>
      </w:r>
    </w:p>
    <w:p w:rsidR="00E83093" w:rsidRPr="00AB1FE2" w:rsidRDefault="00E83093" w:rsidP="00E83093">
      <w:pPr>
        <w:rPr>
          <w:rFonts w:ascii="Cambria" w:hAnsi="Cambria" w:cs="Arial"/>
          <w:spacing w:val="-3"/>
          <w:sz w:val="24"/>
          <w:szCs w:val="24"/>
          <w:lang w:val="es-ES"/>
        </w:rPr>
      </w:pPr>
    </w:p>
    <w:p w:rsidR="00E83093" w:rsidRPr="00AB1FE2" w:rsidRDefault="00E83093" w:rsidP="00E83093">
      <w:pPr>
        <w:jc w:val="both"/>
        <w:rPr>
          <w:rFonts w:ascii="Cambria" w:hAnsi="Cambria"/>
          <w:sz w:val="24"/>
          <w:szCs w:val="24"/>
        </w:rPr>
      </w:pPr>
      <w:r w:rsidRPr="00AB1FE2">
        <w:rPr>
          <w:rFonts w:ascii="Cambria" w:hAnsi="Cambria" w:cs="Arial"/>
          <w:spacing w:val="-3"/>
          <w:sz w:val="24"/>
          <w:szCs w:val="24"/>
          <w:lang w:val="es-ES"/>
        </w:rPr>
        <w:t xml:space="preserve">Para la verificación, seguimiento y fiel cumplimiento de todas las condiciones que se establezcan en el contrato para la adquisición de </w:t>
      </w:r>
      <w:r w:rsidRPr="00AB1FE2">
        <w:rPr>
          <w:rFonts w:ascii="Cambria" w:hAnsi="Cambria" w:cs="Arial"/>
          <w:i/>
          <w:iCs/>
          <w:spacing w:val="-3"/>
          <w:sz w:val="24"/>
          <w:szCs w:val="24"/>
          <w:lang w:val="es-ES"/>
        </w:rPr>
        <w:t>“</w:t>
      </w:r>
      <w:r w:rsidR="003E5342" w:rsidRPr="00AB1FE2">
        <w:rPr>
          <w:rFonts w:ascii="Cambria" w:hAnsi="Cambria" w:cs="Arial"/>
          <w:i/>
          <w:iCs/>
          <w:spacing w:val="-3"/>
          <w:sz w:val="24"/>
          <w:szCs w:val="24"/>
          <w:lang w:val="es-ES"/>
        </w:rPr>
        <w:t>Kit para determinación de virus COVID-19 por PCR en tiempo real</w:t>
      </w:r>
      <w:r w:rsidRPr="00AB1FE2">
        <w:rPr>
          <w:rFonts w:ascii="Cambria" w:hAnsi="Cambria" w:cs="Arial"/>
          <w:i/>
          <w:iCs/>
          <w:spacing w:val="-3"/>
          <w:sz w:val="24"/>
          <w:szCs w:val="24"/>
          <w:lang w:val="es-ES"/>
        </w:rPr>
        <w:t>”</w:t>
      </w:r>
      <w:r w:rsidRPr="00AB1FE2">
        <w:rPr>
          <w:rFonts w:ascii="Cambria" w:hAnsi="Cambria" w:cs="Arial"/>
          <w:spacing w:val="-3"/>
          <w:sz w:val="24"/>
          <w:szCs w:val="24"/>
          <w:lang w:val="es-ES"/>
        </w:rPr>
        <w:t xml:space="preserve"> l</w:t>
      </w:r>
      <w:r w:rsidRPr="00AB1FE2">
        <w:rPr>
          <w:rFonts w:ascii="Cambria" w:hAnsi="Cambria" w:cs="Arial"/>
          <w:sz w:val="24"/>
          <w:szCs w:val="24"/>
          <w:lang w:val="es-ES"/>
        </w:rPr>
        <w:t>a entidad contratante designa</w:t>
      </w:r>
      <w:r w:rsidR="001D55F6">
        <w:rPr>
          <w:rFonts w:ascii="Cambria" w:hAnsi="Cambria" w:cs="Arial"/>
          <w:sz w:val="24"/>
          <w:szCs w:val="24"/>
          <w:lang w:val="es-ES"/>
        </w:rPr>
        <w:t>rá</w:t>
      </w:r>
      <w:r w:rsidRPr="00AB1FE2">
        <w:rPr>
          <w:rFonts w:ascii="Cambria" w:hAnsi="Cambria" w:cs="Arial"/>
          <w:sz w:val="24"/>
          <w:szCs w:val="24"/>
          <w:lang w:val="es-ES"/>
        </w:rPr>
        <w:t xml:space="preserve"> </w:t>
      </w:r>
      <w:r w:rsidR="001D55F6">
        <w:rPr>
          <w:rFonts w:ascii="Cambria" w:hAnsi="Cambria" w:cs="Arial"/>
          <w:sz w:val="24"/>
          <w:szCs w:val="24"/>
          <w:lang w:val="es-ES"/>
        </w:rPr>
        <w:t xml:space="preserve">un </w:t>
      </w:r>
      <w:r w:rsidRPr="00AB1FE2">
        <w:rPr>
          <w:rFonts w:ascii="Cambria" w:hAnsi="Cambria" w:cs="Arial"/>
          <w:sz w:val="24"/>
          <w:szCs w:val="24"/>
          <w:lang w:val="es-ES"/>
        </w:rPr>
        <w:t>administrador(a) d</w:t>
      </w:r>
      <w:r w:rsidR="001D55F6">
        <w:rPr>
          <w:rFonts w:ascii="Cambria" w:hAnsi="Cambria" w:cs="Arial"/>
          <w:sz w:val="24"/>
          <w:szCs w:val="24"/>
          <w:lang w:val="es-ES"/>
        </w:rPr>
        <w:t>e contrato</w:t>
      </w:r>
      <w:r w:rsidRPr="00AB1FE2">
        <w:rPr>
          <w:rFonts w:ascii="Cambria" w:hAnsi="Cambria" w:cs="Arial"/>
          <w:sz w:val="24"/>
          <w:szCs w:val="24"/>
          <w:lang w:val="es-ES"/>
        </w:rPr>
        <w:t xml:space="preserve"> </w:t>
      </w:r>
      <w:r w:rsidRPr="00AB1FE2">
        <w:rPr>
          <w:rFonts w:ascii="Cambria" w:hAnsi="Cambria" w:cs="Arial"/>
          <w:color w:val="000000"/>
          <w:sz w:val="24"/>
          <w:szCs w:val="24"/>
        </w:rPr>
        <w:t xml:space="preserve">o quien </w:t>
      </w:r>
      <w:r w:rsidR="001D55F6">
        <w:rPr>
          <w:rFonts w:ascii="Cambria" w:hAnsi="Cambria" w:cs="Arial"/>
          <w:color w:val="000000"/>
          <w:sz w:val="24"/>
          <w:szCs w:val="24"/>
        </w:rPr>
        <w:t>velará su fiel cumplimiento</w:t>
      </w:r>
      <w:r w:rsidRPr="00AB1FE2">
        <w:rPr>
          <w:rFonts w:ascii="Cambria" w:hAnsi="Cambria" w:cs="Arial"/>
          <w:color w:val="000000"/>
          <w:sz w:val="24"/>
          <w:szCs w:val="24"/>
        </w:rPr>
        <w:t>.</w:t>
      </w:r>
    </w:p>
    <w:p w:rsidR="00E83093" w:rsidRPr="00AB1FE2" w:rsidRDefault="00E83093" w:rsidP="00E83093">
      <w:pPr>
        <w:rPr>
          <w:rFonts w:ascii="Cambria" w:hAnsi="Cambria"/>
          <w:sz w:val="24"/>
          <w:szCs w:val="24"/>
        </w:rPr>
      </w:pPr>
      <w:r w:rsidRPr="00AB1FE2">
        <w:rPr>
          <w:rFonts w:ascii="Cambria" w:hAnsi="Cambria" w:cs="Arial"/>
          <w:b/>
          <w:sz w:val="24"/>
          <w:szCs w:val="24"/>
          <w:lang w:val="es-ES" w:eastAsia="es-ES"/>
        </w:rPr>
        <w:t>17. Obligaciones del contratista</w:t>
      </w:r>
    </w:p>
    <w:p w:rsidR="00E83093" w:rsidRPr="00AB1FE2" w:rsidRDefault="00E83093" w:rsidP="00E83093">
      <w:pPr>
        <w:rPr>
          <w:rFonts w:ascii="Cambria" w:hAnsi="Cambria" w:cs="Arial"/>
          <w:b/>
          <w:sz w:val="24"/>
          <w:szCs w:val="24"/>
          <w:lang w:val="es-ES" w:eastAsia="es-ES"/>
        </w:rPr>
      </w:pPr>
    </w:p>
    <w:p w:rsidR="00E83093" w:rsidRPr="00AB1FE2" w:rsidRDefault="00E83093" w:rsidP="00E83093">
      <w:pPr>
        <w:tabs>
          <w:tab w:val="left" w:pos="-720"/>
        </w:tabs>
        <w:rPr>
          <w:rFonts w:ascii="Cambria" w:hAnsi="Cambria"/>
          <w:sz w:val="24"/>
          <w:szCs w:val="24"/>
        </w:rPr>
      </w:pPr>
      <w:r w:rsidRPr="00AB1FE2">
        <w:rPr>
          <w:rFonts w:ascii="Cambria" w:hAnsi="Cambria" w:cs="Arial"/>
          <w:spacing w:val="-2"/>
          <w:sz w:val="24"/>
          <w:szCs w:val="24"/>
          <w:lang w:val="es-ES"/>
        </w:rPr>
        <w:t>Constituyen obligaciones del CONTRATISTA las que a continuación se detallan:</w:t>
      </w:r>
    </w:p>
    <w:p w:rsidR="00E83093" w:rsidRPr="00AB1FE2" w:rsidRDefault="00E83093" w:rsidP="00E83093">
      <w:pPr>
        <w:tabs>
          <w:tab w:val="left" w:pos="-720"/>
        </w:tabs>
        <w:rPr>
          <w:rFonts w:ascii="Cambria" w:hAnsi="Cambria" w:cs="Arial"/>
          <w:spacing w:val="-2"/>
          <w:sz w:val="24"/>
          <w:szCs w:val="24"/>
          <w:lang w:val="es-ES"/>
        </w:rPr>
      </w:pPr>
    </w:p>
    <w:p w:rsidR="00E83093" w:rsidRPr="00AB1FE2" w:rsidRDefault="00E83093" w:rsidP="00E83093">
      <w:pPr>
        <w:numPr>
          <w:ilvl w:val="0"/>
          <w:numId w:val="6"/>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Entregar oportunamente </w:t>
      </w:r>
      <w:r w:rsidR="00AE3B9C">
        <w:rPr>
          <w:rFonts w:ascii="Cambria" w:hAnsi="Cambria" w:cs="Arial"/>
          <w:spacing w:val="-2"/>
          <w:sz w:val="24"/>
          <w:szCs w:val="24"/>
          <w:lang w:val="es-ES"/>
        </w:rPr>
        <w:t xml:space="preserve">los </w:t>
      </w:r>
      <w:r w:rsidR="00AE3B9C">
        <w:rPr>
          <w:rFonts w:ascii="Cambria" w:hAnsi="Cambria" w:cs="Arial"/>
          <w:sz w:val="24"/>
          <w:szCs w:val="24"/>
          <w:lang w:val="es-ES"/>
        </w:rPr>
        <w:t xml:space="preserve">36000 </w:t>
      </w:r>
      <w:r w:rsidR="00AE3B9C" w:rsidRPr="00AB1FE2">
        <w:rPr>
          <w:rFonts w:ascii="Cambria" w:eastAsia="Arial" w:hAnsi="Cambria" w:cs="Arial"/>
          <w:b/>
          <w:bCs/>
          <w:i/>
          <w:iCs/>
          <w:sz w:val="24"/>
          <w:szCs w:val="24"/>
        </w:rPr>
        <w:t>“Kit para determinación de virus COVID-19 por PCR en tiempo real”</w:t>
      </w:r>
      <w:r w:rsidRPr="00AB1FE2">
        <w:rPr>
          <w:rFonts w:ascii="Cambria" w:hAnsi="Cambria" w:cs="Arial"/>
          <w:spacing w:val="-2"/>
          <w:sz w:val="24"/>
          <w:szCs w:val="24"/>
          <w:lang w:val="es-ES"/>
        </w:rPr>
        <w:t>, en la cantidad señalada, de conformidad con lo indicado en el plazo de ejecución y en el contrato, sin costo extra por el flete.</w:t>
      </w:r>
    </w:p>
    <w:p w:rsidR="00E83093" w:rsidRPr="00AB1FE2" w:rsidRDefault="00E83093" w:rsidP="00E83093">
      <w:pPr>
        <w:tabs>
          <w:tab w:val="left" w:pos="-720"/>
          <w:tab w:val="left" w:pos="720"/>
        </w:tabs>
        <w:ind w:left="720"/>
        <w:jc w:val="both"/>
        <w:rPr>
          <w:rFonts w:ascii="Cambria" w:hAnsi="Cambria"/>
          <w:sz w:val="24"/>
          <w:szCs w:val="24"/>
        </w:rPr>
      </w:pPr>
    </w:p>
    <w:p w:rsidR="00E83093" w:rsidRPr="00FC072B" w:rsidRDefault="00E83093" w:rsidP="004C0F46">
      <w:pPr>
        <w:numPr>
          <w:ilvl w:val="0"/>
          <w:numId w:val="6"/>
        </w:numPr>
        <w:tabs>
          <w:tab w:val="left" w:pos="-720"/>
          <w:tab w:val="left" w:pos="720"/>
        </w:tabs>
        <w:jc w:val="both"/>
        <w:rPr>
          <w:rFonts w:ascii="Cambria" w:hAnsi="Cambria"/>
          <w:sz w:val="24"/>
          <w:szCs w:val="24"/>
        </w:rPr>
      </w:pPr>
      <w:r w:rsidRPr="00FC072B">
        <w:rPr>
          <w:rFonts w:ascii="Cambria" w:hAnsi="Cambria" w:cs="Arial"/>
          <w:spacing w:val="-2"/>
          <w:sz w:val="24"/>
          <w:szCs w:val="24"/>
          <w:lang w:val="es-ES"/>
        </w:rPr>
        <w:t xml:space="preserve">Proveer todos los documentos técnicos referidos en el punto </w:t>
      </w:r>
      <w:proofErr w:type="gramStart"/>
      <w:r w:rsidRPr="00FC072B">
        <w:rPr>
          <w:rFonts w:ascii="Cambria" w:hAnsi="Cambria" w:cs="Arial"/>
          <w:i/>
          <w:iCs/>
          <w:spacing w:val="-2"/>
          <w:sz w:val="24"/>
          <w:szCs w:val="24"/>
          <w:lang w:val="es-ES"/>
        </w:rPr>
        <w:t>“</w:t>
      </w:r>
      <w:r w:rsidRPr="00FC072B">
        <w:rPr>
          <w:rFonts w:ascii="Cambria" w:hAnsi="Cambria" w:cs="Arial"/>
          <w:b/>
          <w:bCs/>
          <w:i/>
          <w:iCs/>
          <w:spacing w:val="-2"/>
          <w:sz w:val="24"/>
          <w:szCs w:val="24"/>
          <w:lang w:val="es-ES"/>
        </w:rPr>
        <w:t xml:space="preserve"> Recepción</w:t>
      </w:r>
      <w:proofErr w:type="gramEnd"/>
      <w:r w:rsidRPr="00FC072B">
        <w:rPr>
          <w:rFonts w:ascii="Cambria" w:hAnsi="Cambria" w:cs="Arial"/>
          <w:i/>
          <w:iCs/>
          <w:spacing w:val="-2"/>
          <w:sz w:val="24"/>
          <w:szCs w:val="24"/>
          <w:lang w:val="es-ES"/>
        </w:rPr>
        <w:t>”</w:t>
      </w:r>
      <w:r w:rsidR="00FC072B">
        <w:rPr>
          <w:rFonts w:ascii="Cambria" w:hAnsi="Cambria" w:cs="Arial"/>
          <w:spacing w:val="-2"/>
          <w:sz w:val="24"/>
          <w:szCs w:val="24"/>
          <w:lang w:val="es-ES"/>
        </w:rPr>
        <w:t>.</w:t>
      </w:r>
    </w:p>
    <w:p w:rsidR="00FC072B" w:rsidRPr="00FC072B" w:rsidRDefault="00FC072B" w:rsidP="00FC072B">
      <w:pPr>
        <w:tabs>
          <w:tab w:val="left" w:pos="-720"/>
          <w:tab w:val="left" w:pos="720"/>
        </w:tabs>
        <w:jc w:val="both"/>
        <w:rPr>
          <w:rFonts w:ascii="Cambria" w:hAnsi="Cambria"/>
          <w:sz w:val="24"/>
          <w:szCs w:val="24"/>
        </w:rPr>
      </w:pPr>
    </w:p>
    <w:p w:rsidR="00E83093" w:rsidRPr="00AB1FE2" w:rsidRDefault="00E83093" w:rsidP="00E83093">
      <w:pPr>
        <w:numPr>
          <w:ilvl w:val="0"/>
          <w:numId w:val="6"/>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Suministrar con una fecha de vencimiento mínimo de 12 meses contados desde la fecha de recepción del dispositivo médico, lo que será garantizado con la impresión de la fecha de vencimiento en la etiqueta del envase primario.</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jc w:val="both"/>
        <w:rPr>
          <w:rFonts w:ascii="Cambria" w:hAnsi="Cambria"/>
          <w:sz w:val="24"/>
          <w:szCs w:val="24"/>
        </w:rPr>
      </w:pPr>
      <w:r w:rsidRPr="00AB1FE2">
        <w:rPr>
          <w:rFonts w:ascii="Cambria" w:hAnsi="Cambria" w:cs="Arial"/>
          <w:spacing w:val="-2"/>
          <w:sz w:val="24"/>
          <w:szCs w:val="24"/>
          <w:lang w:val="es-ES"/>
        </w:rPr>
        <w:t>Cubrir el costo de análisis de control de calidad post-registro realizado por la Agencia Nacional de Regulación, Control y Vigilancia Sanitaria (ARCSA), cuando lo solicite el MSP y reponer las muestras que sean retiradas para el control de calidad por la ARCSA y; cuyas características cumplan con lo detallado en el inciso anterior.</w:t>
      </w:r>
    </w:p>
    <w:p w:rsidR="00E83093" w:rsidRPr="00AB1FE2" w:rsidRDefault="00E83093" w:rsidP="00E83093">
      <w:pPr>
        <w:ind w:left="720"/>
        <w:jc w:val="both"/>
        <w:rPr>
          <w:rFonts w:ascii="Cambria" w:hAnsi="Cambria" w:cs="Arial"/>
          <w:spacing w:val="-2"/>
          <w:sz w:val="24"/>
          <w:szCs w:val="24"/>
          <w:lang w:val="es-ES"/>
        </w:rPr>
      </w:pPr>
    </w:p>
    <w:p w:rsidR="00E83093" w:rsidRPr="00AB1FE2" w:rsidRDefault="00E83093" w:rsidP="00E83093">
      <w:pPr>
        <w:numPr>
          <w:ilvl w:val="0"/>
          <w:numId w:val="4"/>
        </w:numPr>
        <w:jc w:val="both"/>
        <w:rPr>
          <w:rFonts w:ascii="Cambria" w:hAnsi="Cambria"/>
          <w:sz w:val="24"/>
          <w:szCs w:val="24"/>
        </w:rPr>
      </w:pPr>
      <w:r w:rsidRPr="00AB1FE2">
        <w:rPr>
          <w:rFonts w:ascii="Cambria" w:hAnsi="Cambria" w:cs="Arial"/>
          <w:spacing w:val="-2"/>
          <w:sz w:val="24"/>
          <w:szCs w:val="24"/>
          <w:lang w:val="es-ES"/>
        </w:rPr>
        <w:t xml:space="preserve">Reponer el </w:t>
      </w:r>
      <w:r w:rsidR="00FC072B">
        <w:rPr>
          <w:rFonts w:ascii="Cambria" w:hAnsi="Cambria" w:cs="Arial"/>
          <w:spacing w:val="-3"/>
          <w:sz w:val="24"/>
          <w:szCs w:val="24"/>
          <w:lang w:val="es-ES"/>
        </w:rPr>
        <w:t>dispositivo médico</w:t>
      </w:r>
      <w:r w:rsidR="00FC072B">
        <w:rPr>
          <w:rFonts w:ascii="Cambria" w:hAnsi="Cambria" w:cs="Arial"/>
          <w:sz w:val="24"/>
          <w:szCs w:val="24"/>
          <w:lang w:val="es-ES"/>
        </w:rPr>
        <w:t xml:space="preserve"> </w:t>
      </w:r>
      <w:r w:rsidR="00FC072B" w:rsidRPr="00AB1FE2">
        <w:rPr>
          <w:rFonts w:ascii="Cambria" w:eastAsia="Arial" w:hAnsi="Cambria" w:cs="Arial"/>
          <w:b/>
          <w:bCs/>
          <w:i/>
          <w:iCs/>
          <w:sz w:val="24"/>
          <w:szCs w:val="24"/>
        </w:rPr>
        <w:t>“Kit para determinación de virus COVID-19 por PCR en tiempo real”</w:t>
      </w:r>
      <w:r w:rsidRPr="00AB1FE2">
        <w:rPr>
          <w:rFonts w:ascii="Cambria" w:hAnsi="Cambria" w:cs="Arial"/>
          <w:spacing w:val="-3"/>
          <w:sz w:val="24"/>
          <w:szCs w:val="24"/>
          <w:lang w:val="es-ES"/>
        </w:rPr>
        <w:t xml:space="preserve"> </w:t>
      </w:r>
      <w:r w:rsidRPr="00AB1FE2">
        <w:rPr>
          <w:rFonts w:ascii="Cambria" w:hAnsi="Cambria" w:cs="Arial"/>
          <w:spacing w:val="-2"/>
          <w:sz w:val="24"/>
          <w:szCs w:val="24"/>
          <w:lang w:val="es-ES"/>
        </w:rPr>
        <w:t>que no cumpla con los parámetros técnicos evaluados durante los controles post registro según corresponda.</w:t>
      </w:r>
    </w:p>
    <w:p w:rsidR="00E83093" w:rsidRPr="00AB1FE2" w:rsidRDefault="00E83093" w:rsidP="00E83093">
      <w:pPr>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Comprometerse previa notificación del Ministerio de Salud Pública a canjear el dispositivo médico </w:t>
      </w:r>
      <w:r w:rsidR="00DB4D69" w:rsidRPr="00AB1FE2">
        <w:rPr>
          <w:rFonts w:ascii="Cambria" w:eastAsia="Arial" w:hAnsi="Cambria" w:cs="Arial"/>
          <w:b/>
          <w:bCs/>
          <w:i/>
          <w:iCs/>
          <w:sz w:val="24"/>
          <w:szCs w:val="24"/>
        </w:rPr>
        <w:t>“Kit para determinación de virus COVID-19 por PCR en tiempo real”</w:t>
      </w:r>
      <w:r w:rsidRPr="00AB1FE2">
        <w:rPr>
          <w:rFonts w:ascii="Cambria" w:hAnsi="Cambria" w:cs="Arial"/>
          <w:spacing w:val="-2"/>
          <w:sz w:val="24"/>
          <w:szCs w:val="24"/>
          <w:lang w:val="es-ES"/>
        </w:rPr>
        <w:t>, retirando a su cuenta y cargo tanto de las bodegas del Ministerio de Salud Pública, como de sus establecimientos de salud a nivel nacional, en donde se encuentren los dispositivos médicos notificados por su fecha de expiración.</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En el período que transcurre entre la notificación al proveedor para el canje y la fecha de expiración de </w:t>
      </w:r>
      <w:r w:rsidRPr="00AB1FE2">
        <w:rPr>
          <w:rFonts w:ascii="Cambria" w:hAnsi="Cambria" w:cs="Arial"/>
          <w:spacing w:val="-3"/>
          <w:sz w:val="24"/>
          <w:szCs w:val="24"/>
          <w:lang w:val="es-ES"/>
        </w:rPr>
        <w:t xml:space="preserve">dispositivo médico </w:t>
      </w:r>
      <w:r w:rsidRPr="00AB1FE2">
        <w:rPr>
          <w:rFonts w:ascii="Cambria" w:hAnsi="Cambria" w:cs="Arial"/>
          <w:spacing w:val="-2"/>
          <w:sz w:val="24"/>
          <w:szCs w:val="24"/>
          <w:lang w:val="es-ES"/>
        </w:rPr>
        <w:t>se podrá realizar el canje solicitado por el MSP, de conformidad con la normativa vigente.</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Los dispositivos médicos vencidos y que ya fueron retirados por el proveedor deberán ser reintegrados hasta 5 días laborables posteriores a su retiro por otros iguales y de mayor </w:t>
      </w:r>
      <w:r w:rsidRPr="00AB1FE2">
        <w:rPr>
          <w:rFonts w:ascii="Cambria" w:hAnsi="Cambria" w:cs="Arial"/>
          <w:spacing w:val="-2"/>
          <w:sz w:val="24"/>
          <w:szCs w:val="24"/>
          <w:lang w:val="es-ES"/>
        </w:rPr>
        <w:lastRenderedPageBreak/>
        <w:t>vida útil (mínimo de 12 meses), en cada uno de los establecimientos de salud del MSP donde se encuentre el dispositivo médico.</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La responsabilidad del canje del dispositivo médico se mantendrá inclusive después de concluida la vigencia del contrato.</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El proveedor asumirá la total responsabilidad sobre el </w:t>
      </w:r>
      <w:r w:rsidRPr="00AB1FE2">
        <w:rPr>
          <w:rFonts w:ascii="Cambria" w:hAnsi="Cambria" w:cs="Arial"/>
          <w:spacing w:val="-3"/>
          <w:sz w:val="24"/>
          <w:szCs w:val="24"/>
          <w:lang w:val="es-ES"/>
        </w:rPr>
        <w:t xml:space="preserve">dispositivo médico </w:t>
      </w:r>
      <w:r w:rsidRPr="00AB1FE2">
        <w:rPr>
          <w:rFonts w:ascii="Cambria" w:hAnsi="Cambria" w:cs="Arial"/>
          <w:spacing w:val="-2"/>
          <w:sz w:val="24"/>
          <w:szCs w:val="24"/>
          <w:lang w:val="es-ES"/>
        </w:rPr>
        <w:t xml:space="preserve">entregado además de la que le corresponde al fabricante o importador. </w:t>
      </w:r>
      <w:r w:rsidRPr="00AB1FE2">
        <w:rPr>
          <w:rFonts w:ascii="Cambria" w:hAnsi="Cambria" w:cs="Arial"/>
          <w:spacing w:val="-2"/>
          <w:sz w:val="24"/>
          <w:szCs w:val="24"/>
        </w:rPr>
        <w:t>No, se permite subrogación de obligaciones.</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 xml:space="preserve">El dispositivo médico debe tener impreso la leyenda </w:t>
      </w:r>
      <w:r w:rsidRPr="00AB1FE2">
        <w:rPr>
          <w:rFonts w:ascii="Cambria" w:hAnsi="Cambria" w:cs="Arial"/>
          <w:i/>
          <w:spacing w:val="-2"/>
          <w:sz w:val="24"/>
          <w:szCs w:val="24"/>
          <w:lang w:val="es-ES"/>
        </w:rPr>
        <w:t xml:space="preserve">“Gratuito. Prohibida su venta”, </w:t>
      </w:r>
      <w:r w:rsidRPr="00AB1FE2">
        <w:rPr>
          <w:rFonts w:ascii="Cambria" w:hAnsi="Cambria" w:cs="Arial"/>
          <w:spacing w:val="-2"/>
          <w:sz w:val="24"/>
          <w:szCs w:val="24"/>
          <w:lang w:val="es-ES"/>
        </w:rPr>
        <w:t>según lo estipula la ficha técnica de la sección 7 del presente documento, solo aplica para proveedores locales</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4"/>
        </w:numPr>
        <w:tabs>
          <w:tab w:val="left" w:pos="-720"/>
          <w:tab w:val="left" w:pos="720"/>
        </w:tabs>
        <w:jc w:val="both"/>
        <w:rPr>
          <w:rFonts w:ascii="Cambria" w:hAnsi="Cambria"/>
          <w:sz w:val="24"/>
          <w:szCs w:val="24"/>
        </w:rPr>
      </w:pPr>
      <w:r w:rsidRPr="00AB1FE2">
        <w:rPr>
          <w:rFonts w:ascii="Cambria" w:hAnsi="Cambria" w:cs="Arial"/>
          <w:spacing w:val="-2"/>
          <w:sz w:val="24"/>
          <w:szCs w:val="24"/>
          <w:lang w:val="es-ES"/>
        </w:rPr>
        <w:t>En caso de alerta sanitaria por suspensión o cancelación de registro sanitario, el proveedor deberá retirar a su cuenta y cargo el dispositivo médico de los establecimientos de salud en donde este se encuentre, sin perjuicio del canje u otro método de compensación que se determine por parte del MSP.</w:t>
      </w:r>
    </w:p>
    <w:p w:rsidR="00E83093" w:rsidRPr="00AB1FE2" w:rsidRDefault="00E83093" w:rsidP="00E83093">
      <w:pPr>
        <w:tabs>
          <w:tab w:val="left" w:pos="-720"/>
        </w:tabs>
        <w:rPr>
          <w:rFonts w:ascii="Cambria" w:hAnsi="Cambria" w:cs="Arial"/>
          <w:b/>
          <w:bCs/>
          <w:spacing w:val="-2"/>
          <w:sz w:val="24"/>
          <w:szCs w:val="24"/>
          <w:lang w:val="es-ES"/>
        </w:rPr>
      </w:pPr>
    </w:p>
    <w:p w:rsidR="00E83093" w:rsidRPr="00AB1FE2" w:rsidRDefault="00E83093" w:rsidP="00E83093">
      <w:pPr>
        <w:tabs>
          <w:tab w:val="left" w:pos="-720"/>
        </w:tabs>
        <w:rPr>
          <w:rFonts w:ascii="Cambria" w:hAnsi="Cambria"/>
          <w:sz w:val="24"/>
          <w:szCs w:val="24"/>
        </w:rPr>
      </w:pPr>
      <w:r w:rsidRPr="00AB1FE2">
        <w:rPr>
          <w:rFonts w:ascii="Cambria" w:hAnsi="Cambria" w:cs="Arial"/>
          <w:b/>
          <w:bCs/>
          <w:spacing w:val="-2"/>
          <w:sz w:val="24"/>
          <w:szCs w:val="24"/>
          <w:lang w:val="es-ES"/>
        </w:rPr>
        <w:t>18. Obligaciones de la entidad contratante</w:t>
      </w:r>
    </w:p>
    <w:p w:rsidR="00E83093" w:rsidRPr="00AB1FE2" w:rsidRDefault="00E83093" w:rsidP="00E83093">
      <w:pPr>
        <w:tabs>
          <w:tab w:val="left" w:pos="-720"/>
        </w:tabs>
        <w:rPr>
          <w:rFonts w:ascii="Cambria" w:hAnsi="Cambria" w:cs="Arial"/>
          <w:b/>
          <w:bCs/>
          <w:spacing w:val="-2"/>
          <w:sz w:val="24"/>
          <w:szCs w:val="24"/>
          <w:lang w:val="es-ES"/>
        </w:rPr>
      </w:pPr>
    </w:p>
    <w:p w:rsidR="00E83093" w:rsidRPr="00AB1FE2" w:rsidRDefault="00E83093" w:rsidP="00E83093">
      <w:pPr>
        <w:tabs>
          <w:tab w:val="left" w:pos="-720"/>
        </w:tabs>
        <w:rPr>
          <w:rFonts w:ascii="Cambria" w:hAnsi="Cambria"/>
          <w:sz w:val="24"/>
          <w:szCs w:val="24"/>
        </w:rPr>
      </w:pPr>
      <w:r w:rsidRPr="00AB1FE2">
        <w:rPr>
          <w:rFonts w:ascii="Cambria" w:hAnsi="Cambria" w:cs="Arial"/>
          <w:bCs/>
          <w:spacing w:val="-2"/>
          <w:sz w:val="24"/>
          <w:szCs w:val="24"/>
          <w:lang w:val="es-ES"/>
        </w:rPr>
        <w:t>Son obligaciones del Ministerio de Salud Pública:</w:t>
      </w:r>
    </w:p>
    <w:p w:rsidR="00E83093" w:rsidRPr="00AB1FE2" w:rsidRDefault="00E83093" w:rsidP="00E83093">
      <w:pPr>
        <w:tabs>
          <w:tab w:val="left" w:pos="-720"/>
        </w:tabs>
        <w:rPr>
          <w:rFonts w:ascii="Cambria" w:hAnsi="Cambria" w:cs="Arial"/>
          <w:sz w:val="24"/>
          <w:szCs w:val="24"/>
          <w:lang w:val="es-ES"/>
        </w:rPr>
      </w:pPr>
    </w:p>
    <w:p w:rsidR="00E83093" w:rsidRPr="00AB1FE2" w:rsidRDefault="00E83093" w:rsidP="00E83093">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Otorgar al proveedor las facilidades necesarias para la recepción de</w:t>
      </w:r>
      <w:r w:rsidRPr="00AB1FE2">
        <w:rPr>
          <w:rFonts w:ascii="Cambria" w:hAnsi="Cambria" w:cs="Arial"/>
          <w:spacing w:val="-2"/>
          <w:sz w:val="24"/>
          <w:szCs w:val="24"/>
          <w:lang w:val="es-ES"/>
        </w:rPr>
        <w:t>l dispositivo médico.</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Verificar de conformidad con los intereses institucionales los documentos que el proveedor debe presentar.</w:t>
      </w:r>
    </w:p>
    <w:p w:rsidR="00E83093" w:rsidRPr="00AB1FE2" w:rsidRDefault="00E83093" w:rsidP="00E83093">
      <w:pPr>
        <w:tabs>
          <w:tab w:val="left" w:pos="-720"/>
          <w:tab w:val="left" w:pos="720"/>
        </w:tabs>
        <w:ind w:left="720"/>
        <w:jc w:val="both"/>
        <w:rPr>
          <w:rFonts w:ascii="Cambria" w:hAnsi="Cambria" w:cs="Arial"/>
          <w:bCs/>
          <w:spacing w:val="-2"/>
          <w:sz w:val="24"/>
          <w:szCs w:val="24"/>
          <w:lang w:val="es-ES"/>
        </w:rPr>
      </w:pPr>
    </w:p>
    <w:p w:rsidR="00E83093" w:rsidRPr="00AB1FE2" w:rsidRDefault="00E83093" w:rsidP="00E83093">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 xml:space="preserve">Verificar el cumplimiento de las especificaciones técnicas, de las cantidades de </w:t>
      </w:r>
      <w:r w:rsidRPr="00AB1FE2">
        <w:rPr>
          <w:rFonts w:ascii="Cambria" w:hAnsi="Cambria" w:cs="Arial"/>
          <w:spacing w:val="-2"/>
          <w:sz w:val="24"/>
          <w:szCs w:val="24"/>
          <w:lang w:val="es-ES"/>
        </w:rPr>
        <w:t xml:space="preserve">dispositivo médico, </w:t>
      </w:r>
      <w:r w:rsidRPr="00AB1FE2">
        <w:rPr>
          <w:rFonts w:ascii="Cambria" w:hAnsi="Cambria" w:cs="Arial"/>
          <w:bCs/>
          <w:spacing w:val="-2"/>
          <w:sz w:val="24"/>
          <w:szCs w:val="24"/>
          <w:lang w:val="es-ES"/>
        </w:rPr>
        <w:t>certificados analíticos de control de calidad del o los lotes entregados, requisitos del envase primario, envase secundario, terciario, rotulación y embalaje.</w:t>
      </w:r>
    </w:p>
    <w:p w:rsidR="00E83093" w:rsidRPr="00AB1FE2" w:rsidRDefault="00E83093" w:rsidP="00E83093">
      <w:pPr>
        <w:tabs>
          <w:tab w:val="left" w:pos="-720"/>
          <w:tab w:val="left" w:pos="720"/>
        </w:tabs>
        <w:ind w:left="720"/>
        <w:jc w:val="both"/>
        <w:rPr>
          <w:rFonts w:ascii="Cambria" w:hAnsi="Cambria"/>
          <w:sz w:val="24"/>
          <w:szCs w:val="24"/>
        </w:rPr>
      </w:pPr>
    </w:p>
    <w:p w:rsidR="00E83093" w:rsidRPr="00AB1FE2" w:rsidRDefault="00E83093" w:rsidP="00E83093">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Solicitar aleatoriamente o en caso de reportes de sospecha de falla de calidad, la realización del análisis del control post registro por parte de la ARCSA.</w:t>
      </w:r>
    </w:p>
    <w:p w:rsidR="00E83093" w:rsidRPr="00AB1FE2" w:rsidRDefault="00E83093" w:rsidP="00E83093">
      <w:pPr>
        <w:tabs>
          <w:tab w:val="left" w:pos="-720"/>
          <w:tab w:val="left" w:pos="720"/>
        </w:tabs>
        <w:jc w:val="both"/>
        <w:rPr>
          <w:rFonts w:ascii="Cambria" w:hAnsi="Cambria"/>
          <w:sz w:val="24"/>
          <w:szCs w:val="24"/>
        </w:rPr>
      </w:pPr>
    </w:p>
    <w:p w:rsidR="00E83093" w:rsidRPr="00AB1FE2" w:rsidRDefault="00E83093" w:rsidP="00E83093">
      <w:pPr>
        <w:numPr>
          <w:ilvl w:val="0"/>
          <w:numId w:val="3"/>
        </w:numPr>
        <w:tabs>
          <w:tab w:val="left" w:pos="-720"/>
          <w:tab w:val="left" w:pos="720"/>
        </w:tabs>
        <w:jc w:val="both"/>
        <w:rPr>
          <w:rFonts w:ascii="Cambria" w:hAnsi="Cambria" w:cs="Arial"/>
          <w:bCs/>
          <w:spacing w:val="-2"/>
          <w:sz w:val="24"/>
          <w:szCs w:val="24"/>
          <w:lang w:val="es-ES"/>
        </w:rPr>
      </w:pPr>
      <w:r w:rsidRPr="00AB1FE2">
        <w:rPr>
          <w:rFonts w:ascii="Cambria" w:hAnsi="Cambria" w:cs="Arial"/>
          <w:bCs/>
          <w:spacing w:val="-2"/>
          <w:sz w:val="24"/>
          <w:szCs w:val="24"/>
          <w:lang w:val="es-ES"/>
        </w:rPr>
        <w:t xml:space="preserve">La notificación de canje se realizará por lo menos sesenta (60) días antes del vencimiento </w:t>
      </w:r>
      <w:r w:rsidRPr="00AB1FE2">
        <w:rPr>
          <w:rFonts w:ascii="Cambria" w:hAnsi="Cambria" w:cs="Arial"/>
          <w:spacing w:val="-2"/>
          <w:sz w:val="24"/>
          <w:szCs w:val="24"/>
          <w:lang w:val="es-ES"/>
        </w:rPr>
        <w:t>dispositivo médico</w:t>
      </w:r>
      <w:r w:rsidRPr="00AB1FE2">
        <w:rPr>
          <w:rFonts w:ascii="Cambria" w:hAnsi="Cambria" w:cs="Arial"/>
          <w:bCs/>
          <w:spacing w:val="-2"/>
          <w:sz w:val="24"/>
          <w:szCs w:val="24"/>
          <w:lang w:val="es-ES"/>
        </w:rPr>
        <w:t>, lo cual incluye aquellos que hayan sido distribuidos hacia los establecimientos de salud a nivel nacional desde la Bodega del Beaterio a los Hospitales e incluyendo los que se encuentren almacenados en la bodega del Beaterio.</w:t>
      </w:r>
    </w:p>
    <w:p w:rsidR="00E83093" w:rsidRPr="00AB1FE2" w:rsidRDefault="00E83093" w:rsidP="00E83093">
      <w:pPr>
        <w:tabs>
          <w:tab w:val="left" w:pos="-720"/>
          <w:tab w:val="left" w:pos="720"/>
        </w:tabs>
        <w:ind w:left="360"/>
        <w:jc w:val="both"/>
        <w:rPr>
          <w:rFonts w:ascii="Cambria" w:hAnsi="Cambria" w:cs="Arial"/>
          <w:bCs/>
          <w:spacing w:val="-2"/>
          <w:sz w:val="24"/>
          <w:szCs w:val="24"/>
          <w:lang w:val="es-ES"/>
        </w:rPr>
      </w:pPr>
    </w:p>
    <w:p w:rsidR="00E83093" w:rsidRPr="00AB1FE2" w:rsidRDefault="00E83093" w:rsidP="00E83093">
      <w:pPr>
        <w:numPr>
          <w:ilvl w:val="0"/>
          <w:numId w:val="3"/>
        </w:numPr>
        <w:tabs>
          <w:tab w:val="left" w:pos="-720"/>
          <w:tab w:val="left" w:pos="720"/>
        </w:tabs>
        <w:jc w:val="both"/>
        <w:rPr>
          <w:rFonts w:ascii="Cambria" w:hAnsi="Cambria"/>
          <w:sz w:val="24"/>
          <w:szCs w:val="24"/>
        </w:rPr>
      </w:pPr>
      <w:r w:rsidRPr="00AB1FE2">
        <w:rPr>
          <w:rFonts w:ascii="Cambria" w:hAnsi="Cambria" w:cs="Arial"/>
          <w:bCs/>
          <w:spacing w:val="-2"/>
          <w:sz w:val="24"/>
          <w:szCs w:val="24"/>
          <w:lang w:val="es-ES"/>
        </w:rPr>
        <w:t>En caso de alerta sanitaria por suspensión o cancelación de registro sanitario el contratante tiene la obligación de informar al proveedor los sitios donde debe retirar el dispositivo médico</w:t>
      </w:r>
      <w:r w:rsidRPr="00AB1FE2">
        <w:rPr>
          <w:rFonts w:ascii="Cambria" w:hAnsi="Cambria" w:cs="Arial"/>
          <w:spacing w:val="-2"/>
          <w:sz w:val="24"/>
          <w:szCs w:val="24"/>
          <w:lang w:val="es-ES"/>
        </w:rPr>
        <w:t xml:space="preserve"> </w:t>
      </w:r>
      <w:r w:rsidRPr="00AB1FE2">
        <w:rPr>
          <w:rFonts w:ascii="Cambria" w:hAnsi="Cambria" w:cs="Arial"/>
          <w:bCs/>
          <w:spacing w:val="-2"/>
          <w:sz w:val="24"/>
          <w:szCs w:val="24"/>
          <w:lang w:val="es-ES"/>
        </w:rPr>
        <w:t>a fin de que se proceda con el respectivo retiro y canje u otro método de compensación determinado por el MSP.</w:t>
      </w:r>
    </w:p>
    <w:p w:rsidR="00E83093" w:rsidRPr="00AB1FE2" w:rsidRDefault="00E83093" w:rsidP="00E83093">
      <w:pPr>
        <w:rPr>
          <w:rFonts w:ascii="Cambria" w:hAnsi="Cambria" w:cs="Arial"/>
          <w:bCs/>
          <w:spacing w:val="-2"/>
          <w:sz w:val="24"/>
          <w:szCs w:val="24"/>
          <w:lang w:val="es-ES"/>
        </w:rPr>
      </w:pPr>
    </w:p>
    <w:p w:rsidR="00E83093" w:rsidRPr="00AB1FE2" w:rsidRDefault="00E83093" w:rsidP="00E83093">
      <w:pPr>
        <w:tabs>
          <w:tab w:val="left" w:pos="-720"/>
        </w:tabs>
        <w:rPr>
          <w:rFonts w:ascii="Cambria" w:hAnsi="Cambria" w:cs="Arial"/>
          <w:b/>
          <w:sz w:val="24"/>
          <w:szCs w:val="24"/>
        </w:rPr>
      </w:pPr>
    </w:p>
    <w:p w:rsidR="00E83093" w:rsidRPr="00AB1FE2" w:rsidRDefault="00E83093" w:rsidP="00E83093">
      <w:pPr>
        <w:pStyle w:val="Prrafodelista1"/>
        <w:rPr>
          <w:rFonts w:ascii="Cambria" w:hAnsi="Cambria"/>
          <w:sz w:val="24"/>
          <w:szCs w:val="24"/>
        </w:rPr>
      </w:pPr>
      <w:r w:rsidRPr="00AB1FE2">
        <w:rPr>
          <w:rFonts w:ascii="Cambria" w:hAnsi="Cambria" w:cs="Arial"/>
          <w:b/>
          <w:sz w:val="24"/>
          <w:szCs w:val="24"/>
        </w:rPr>
        <w:t>19. Recomendaciones.</w:t>
      </w:r>
    </w:p>
    <w:p w:rsidR="00E83093" w:rsidRPr="00AB1FE2" w:rsidRDefault="00E83093" w:rsidP="00E83093">
      <w:pPr>
        <w:pStyle w:val="Prrafodelista1"/>
        <w:rPr>
          <w:rFonts w:ascii="Cambria" w:hAnsi="Cambria" w:cs="Arial"/>
          <w:sz w:val="24"/>
          <w:szCs w:val="24"/>
        </w:rPr>
      </w:pPr>
    </w:p>
    <w:p w:rsidR="00E83093" w:rsidRPr="00AB1FE2" w:rsidRDefault="00E83093" w:rsidP="00E83093">
      <w:pPr>
        <w:suppressAutoHyphens w:val="0"/>
        <w:autoSpaceDE w:val="0"/>
        <w:autoSpaceDN w:val="0"/>
        <w:adjustRightInd w:val="0"/>
        <w:jc w:val="both"/>
        <w:rPr>
          <w:rFonts w:ascii="Cambria" w:hAnsi="Cambria" w:cs="Arial"/>
          <w:color w:val="000000"/>
          <w:sz w:val="24"/>
          <w:szCs w:val="24"/>
        </w:rPr>
      </w:pPr>
      <w:r w:rsidRPr="00AB1FE2">
        <w:rPr>
          <w:rFonts w:ascii="Cambria" w:hAnsi="Cambria" w:cs="Arial"/>
          <w:color w:val="000000"/>
          <w:sz w:val="24"/>
          <w:szCs w:val="24"/>
        </w:rPr>
        <w:t xml:space="preserve">Con base a </w:t>
      </w:r>
      <w:r w:rsidRPr="00AB1FE2">
        <w:rPr>
          <w:rFonts w:ascii="Cambria" w:hAnsi="Cambria" w:cs="Arial"/>
          <w:sz w:val="24"/>
          <w:szCs w:val="24"/>
          <w:lang w:eastAsia="es-EC"/>
        </w:rPr>
        <w:t>la Resolución Nro. 00026-2020 de 18 de marzo de 2020 mediante el cual la Señora Ministra de Salud Pública resolvió: “</w:t>
      </w:r>
      <w:r w:rsidRPr="00AB1FE2">
        <w:rPr>
          <w:rFonts w:ascii="Cambria" w:hAnsi="Cambria" w:cs="Arial"/>
          <w:i/>
          <w:iCs/>
          <w:sz w:val="24"/>
          <w:szCs w:val="24"/>
          <w:lang w:eastAsia="es-EC"/>
        </w:rPr>
        <w:t xml:space="preserve">Art. 1.- Declarar el Estado de Emergencia Institucional conforme lo preceptúa el artículo 57 de la Ley Orgánica del Sistema Nacional de Contratación Pública, en concordancia con la Emergencia Sanitaria Nacional contenida en el Acuerdo Ministerial No. 00126-2020 de 11 de marzo de 2020, en concordancia con lo dispuesto en el Decreto Ejecutivo Nro. 1017, de 16 de marzo de 2020. Art. 2.- El Ministerio de Salud Pública contratará a través del Coordinador General Administrativo Financiero de manera directa o a través de invitaciones, las obras, bienes fungibles y no fungibles, o servicios que requieran de manera estricta para superar y controlar los efectos producidos por el COVID 19 a nivel nacional.  Podrá inclusive contratar empresas extrajeras sin requerir los requisitos previos de domicilio ni de presentación de garantías; los cuales se cumplirán una vez suscrito el respectivo contrato (…) </w:t>
      </w:r>
      <w:r w:rsidRPr="00AB1FE2">
        <w:rPr>
          <w:rFonts w:ascii="Cambria" w:hAnsi="Cambria" w:cs="Arial"/>
          <w:color w:val="000000"/>
          <w:sz w:val="24"/>
          <w:szCs w:val="24"/>
        </w:rPr>
        <w:t xml:space="preserve"> y del articulo </w:t>
      </w:r>
      <w:r w:rsidRPr="00AB1FE2">
        <w:rPr>
          <w:rFonts w:ascii="Cambria" w:hAnsi="Cambria" w:cs="Arial"/>
          <w:color w:val="000000"/>
          <w:sz w:val="24"/>
          <w:szCs w:val="24"/>
          <w:lang w:eastAsia="es-EC"/>
        </w:rPr>
        <w:t xml:space="preserve">Art. 57 de la Ley </w:t>
      </w:r>
      <w:r w:rsidR="00AB1FE2" w:rsidRPr="00AB1FE2">
        <w:rPr>
          <w:rFonts w:ascii="Cambria" w:hAnsi="Cambria" w:cs="Arial"/>
          <w:color w:val="000000"/>
          <w:sz w:val="24"/>
          <w:szCs w:val="24"/>
          <w:lang w:eastAsia="es-EC"/>
        </w:rPr>
        <w:t>Orgánica</w:t>
      </w:r>
      <w:r w:rsidRPr="00AB1FE2">
        <w:rPr>
          <w:rFonts w:ascii="Cambria" w:hAnsi="Cambria" w:cs="Arial"/>
          <w:color w:val="000000"/>
          <w:sz w:val="24"/>
          <w:szCs w:val="24"/>
          <w:lang w:eastAsia="es-EC"/>
        </w:rPr>
        <w:t xml:space="preserve"> del </w:t>
      </w:r>
      <w:r w:rsidRPr="00AB1FE2">
        <w:rPr>
          <w:rFonts w:ascii="Cambria" w:hAnsi="Cambria" w:cs="Arial"/>
          <w:color w:val="000000"/>
          <w:sz w:val="24"/>
          <w:szCs w:val="24"/>
        </w:rPr>
        <w:t xml:space="preserve">Sistema Nacional de Contratación Pública, se sugiere se proceda con la contratación directa, para la adquisición de </w:t>
      </w:r>
      <w:r w:rsidR="00AB1FE2" w:rsidRPr="00AB1FE2">
        <w:rPr>
          <w:rFonts w:ascii="Cambria" w:hAnsi="Cambria" w:cs="Arial"/>
          <w:color w:val="000000"/>
          <w:sz w:val="24"/>
          <w:szCs w:val="24"/>
        </w:rPr>
        <w:t>Kit para determinación de virus COVID-19 por PCR en tiempo real</w:t>
      </w:r>
    </w:p>
    <w:p w:rsidR="00E83093" w:rsidRPr="00AB1FE2" w:rsidRDefault="00E83093" w:rsidP="00E83093">
      <w:pPr>
        <w:rPr>
          <w:rFonts w:ascii="Cambria" w:hAnsi="Cambria" w:cs="Arial"/>
          <w:sz w:val="24"/>
          <w:szCs w:val="24"/>
          <w:lang w:val="es-ES"/>
        </w:rPr>
      </w:pPr>
    </w:p>
    <w:p w:rsidR="00E83093" w:rsidRPr="00AB1FE2" w:rsidRDefault="00E83093" w:rsidP="00E83093">
      <w:pPr>
        <w:jc w:val="both"/>
        <w:rPr>
          <w:rFonts w:ascii="Cambria" w:hAnsi="Cambria" w:cs="Arial"/>
          <w:sz w:val="24"/>
          <w:szCs w:val="24"/>
          <w:lang w:val="es-ES"/>
        </w:rPr>
      </w:pPr>
    </w:p>
    <w:p w:rsidR="00E83093" w:rsidRPr="00AB1FE2" w:rsidRDefault="00E83093" w:rsidP="00E83093">
      <w:pPr>
        <w:pStyle w:val="Textoindependiente"/>
        <w:ind w:left="0"/>
        <w:rPr>
          <w:rFonts w:ascii="Cambria" w:hAnsi="Cambria"/>
          <w:sz w:val="24"/>
          <w:szCs w:val="24"/>
        </w:rPr>
      </w:pPr>
      <w:r w:rsidRPr="00AB1FE2">
        <w:rPr>
          <w:rFonts w:ascii="Cambria" w:eastAsia="Calibri" w:hAnsi="Cambria"/>
          <w:sz w:val="24"/>
          <w:szCs w:val="24"/>
        </w:rPr>
        <w:t xml:space="preserve">Quito, </w:t>
      </w:r>
      <w:r w:rsidR="00C650C6">
        <w:rPr>
          <w:rFonts w:ascii="Cambria" w:eastAsia="Calibri" w:hAnsi="Cambria"/>
          <w:sz w:val="24"/>
          <w:szCs w:val="24"/>
        </w:rPr>
        <w:t>25</w:t>
      </w:r>
      <w:r w:rsidRPr="00AB1FE2">
        <w:rPr>
          <w:rFonts w:ascii="Cambria" w:eastAsia="Calibri" w:hAnsi="Cambria"/>
          <w:sz w:val="24"/>
          <w:szCs w:val="24"/>
        </w:rPr>
        <w:t xml:space="preserve"> de marzo de 2020</w:t>
      </w:r>
    </w:p>
    <w:p w:rsidR="00E83093" w:rsidRPr="00AB1FE2" w:rsidRDefault="00E83093" w:rsidP="00E83093">
      <w:pPr>
        <w:pStyle w:val="Textoindependiente"/>
        <w:ind w:left="0"/>
        <w:rPr>
          <w:rFonts w:ascii="Cambria" w:hAnsi="Cambria"/>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814"/>
        <w:gridCol w:w="5715"/>
      </w:tblGrid>
      <w:tr w:rsidR="00E83093" w:rsidRPr="00AB1FE2" w:rsidTr="00F320B6">
        <w:trPr>
          <w:trHeight w:hRule="exact" w:val="425"/>
        </w:trPr>
        <w:tc>
          <w:tcPr>
            <w:tcW w:w="4814" w:type="dxa"/>
            <w:tcBorders>
              <w:top w:val="single" w:sz="4" w:space="0" w:color="000000"/>
              <w:left w:val="single" w:sz="4" w:space="0" w:color="000000"/>
              <w:bottom w:val="single" w:sz="4" w:space="0" w:color="000000"/>
            </w:tcBorders>
            <w:shd w:val="clear" w:color="auto" w:fill="FFFFFF"/>
            <w:vAlign w:val="center"/>
          </w:tcPr>
          <w:p w:rsidR="00E83093" w:rsidRPr="00AB1FE2" w:rsidRDefault="00E83093" w:rsidP="00F320B6">
            <w:pPr>
              <w:pStyle w:val="TableParagraph"/>
              <w:widowControl w:val="0"/>
              <w:ind w:left="47"/>
              <w:jc w:val="center"/>
              <w:rPr>
                <w:rFonts w:ascii="Cambria" w:hAnsi="Cambria"/>
                <w:sz w:val="24"/>
                <w:szCs w:val="24"/>
              </w:rPr>
            </w:pPr>
            <w:r w:rsidRPr="00AB1FE2">
              <w:rPr>
                <w:rFonts w:ascii="Cambria" w:eastAsia="Arial" w:hAnsi="Cambria" w:cs="Arial"/>
                <w:b/>
                <w:bCs/>
                <w:sz w:val="24"/>
                <w:szCs w:val="24"/>
              </w:rPr>
              <w:t>Elaborado por:</w:t>
            </w:r>
          </w:p>
        </w:tc>
        <w:tc>
          <w:tcPr>
            <w:tcW w:w="57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093" w:rsidRPr="00AB1FE2" w:rsidRDefault="00E83093" w:rsidP="00F320B6">
            <w:pPr>
              <w:pStyle w:val="TableParagraph"/>
              <w:widowControl w:val="0"/>
              <w:ind w:left="52"/>
              <w:jc w:val="center"/>
              <w:rPr>
                <w:rFonts w:ascii="Cambria" w:hAnsi="Cambria"/>
                <w:sz w:val="24"/>
                <w:szCs w:val="24"/>
              </w:rPr>
            </w:pPr>
            <w:r w:rsidRPr="00AB1FE2">
              <w:rPr>
                <w:rFonts w:ascii="Cambria" w:eastAsia="Arial" w:hAnsi="Cambria" w:cs="Arial"/>
                <w:b/>
                <w:bCs/>
                <w:spacing w:val="-1"/>
                <w:sz w:val="24"/>
                <w:szCs w:val="24"/>
              </w:rPr>
              <w:t>Revisado y aprobado por:</w:t>
            </w:r>
          </w:p>
        </w:tc>
      </w:tr>
      <w:tr w:rsidR="00E83093" w:rsidRPr="00AB1FE2" w:rsidTr="00F320B6">
        <w:trPr>
          <w:trHeight w:hRule="exact" w:val="1330"/>
        </w:trPr>
        <w:tc>
          <w:tcPr>
            <w:tcW w:w="4814" w:type="dxa"/>
            <w:tcBorders>
              <w:top w:val="single" w:sz="4" w:space="0" w:color="000000"/>
              <w:left w:val="single" w:sz="4" w:space="0" w:color="000000"/>
              <w:bottom w:val="single" w:sz="4" w:space="0" w:color="000000"/>
            </w:tcBorders>
            <w:shd w:val="clear" w:color="auto" w:fill="FFFFFF"/>
          </w:tcPr>
          <w:p w:rsidR="00E83093" w:rsidRPr="00AB1FE2" w:rsidRDefault="00E83093" w:rsidP="00F320B6">
            <w:pPr>
              <w:pStyle w:val="TableParagraph"/>
              <w:widowControl w:val="0"/>
              <w:snapToGrid w:val="0"/>
              <w:rPr>
                <w:rFonts w:ascii="Cambria" w:eastAsia="Arial" w:hAnsi="Cambria" w:cs="Arial"/>
                <w:sz w:val="24"/>
                <w:szCs w:val="24"/>
              </w:rPr>
            </w:pPr>
          </w:p>
          <w:p w:rsidR="00E83093" w:rsidRPr="00AB1FE2" w:rsidRDefault="00E83093" w:rsidP="00F320B6">
            <w:pPr>
              <w:pStyle w:val="TableParagraph"/>
              <w:widowControl w:val="0"/>
              <w:rPr>
                <w:rFonts w:ascii="Cambria" w:eastAsia="Arial" w:hAnsi="Cambria" w:cs="Arial"/>
                <w:sz w:val="24"/>
                <w:szCs w:val="24"/>
              </w:rPr>
            </w:pPr>
          </w:p>
          <w:p w:rsidR="00E83093" w:rsidRPr="00AB1FE2" w:rsidRDefault="00E83093" w:rsidP="00F320B6">
            <w:pPr>
              <w:widowControl w:val="0"/>
              <w:tabs>
                <w:tab w:val="left" w:pos="4536"/>
                <w:tab w:val="left" w:pos="4962"/>
              </w:tabs>
              <w:jc w:val="center"/>
              <w:rPr>
                <w:rFonts w:ascii="Cambria" w:eastAsia="Arial" w:hAnsi="Cambria" w:cs="Arial"/>
                <w:sz w:val="24"/>
                <w:szCs w:val="24"/>
              </w:rPr>
            </w:pPr>
          </w:p>
          <w:p w:rsidR="00E83093" w:rsidRPr="00AB1FE2" w:rsidRDefault="009F6A3F" w:rsidP="00F320B6">
            <w:pPr>
              <w:pStyle w:val="TableParagraph"/>
              <w:widowControl w:val="0"/>
              <w:ind w:right="90"/>
              <w:jc w:val="center"/>
              <w:rPr>
                <w:rFonts w:ascii="Cambria" w:hAnsi="Cambria"/>
                <w:sz w:val="24"/>
                <w:szCs w:val="24"/>
              </w:rPr>
            </w:pPr>
            <w:r>
              <w:rPr>
                <w:rFonts w:ascii="Cambria" w:hAnsi="Cambria"/>
                <w:sz w:val="24"/>
                <w:szCs w:val="24"/>
              </w:rPr>
              <w:t>Dirección Nacional de Medicamentos</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cPr>
          <w:p w:rsidR="00E83093" w:rsidRPr="00AB1FE2" w:rsidRDefault="00E83093" w:rsidP="00F320B6">
            <w:pPr>
              <w:pStyle w:val="TableParagraph"/>
              <w:widowControl w:val="0"/>
              <w:tabs>
                <w:tab w:val="left" w:pos="-5194"/>
              </w:tabs>
              <w:snapToGrid w:val="0"/>
              <w:ind w:right="92"/>
              <w:jc w:val="center"/>
              <w:rPr>
                <w:rFonts w:ascii="Cambria" w:hAnsi="Cambria" w:cs="Arial"/>
                <w:sz w:val="24"/>
                <w:szCs w:val="24"/>
              </w:rPr>
            </w:pPr>
          </w:p>
          <w:p w:rsidR="00E83093" w:rsidRPr="00AB1FE2" w:rsidRDefault="00E83093" w:rsidP="00F320B6">
            <w:pPr>
              <w:pStyle w:val="TableParagraph"/>
              <w:widowControl w:val="0"/>
              <w:tabs>
                <w:tab w:val="left" w:pos="-5194"/>
              </w:tabs>
              <w:ind w:right="92"/>
              <w:jc w:val="center"/>
              <w:rPr>
                <w:rFonts w:ascii="Cambria" w:hAnsi="Cambria" w:cs="Arial"/>
                <w:sz w:val="24"/>
                <w:szCs w:val="24"/>
              </w:rPr>
            </w:pPr>
          </w:p>
          <w:p w:rsidR="00E83093" w:rsidRPr="00AB1FE2" w:rsidRDefault="00E83093" w:rsidP="00F320B6">
            <w:pPr>
              <w:pStyle w:val="TableParagraph"/>
              <w:widowControl w:val="0"/>
              <w:tabs>
                <w:tab w:val="left" w:pos="-5194"/>
              </w:tabs>
              <w:ind w:right="92"/>
              <w:jc w:val="center"/>
              <w:rPr>
                <w:rFonts w:ascii="Cambria" w:hAnsi="Cambria" w:cs="Arial"/>
                <w:sz w:val="24"/>
                <w:szCs w:val="24"/>
              </w:rPr>
            </w:pPr>
          </w:p>
          <w:p w:rsidR="00E83093" w:rsidRPr="00AB1FE2" w:rsidRDefault="009F6A3F" w:rsidP="00F320B6">
            <w:pPr>
              <w:widowControl w:val="0"/>
              <w:tabs>
                <w:tab w:val="left" w:pos="4536"/>
                <w:tab w:val="left" w:pos="4962"/>
              </w:tabs>
              <w:jc w:val="center"/>
              <w:rPr>
                <w:rFonts w:ascii="Cambria" w:hAnsi="Cambria" w:cs="Arial"/>
                <w:sz w:val="24"/>
                <w:szCs w:val="24"/>
              </w:rPr>
            </w:pPr>
            <w:r>
              <w:rPr>
                <w:rFonts w:ascii="Cambria" w:hAnsi="Cambria" w:cs="Arial"/>
                <w:sz w:val="24"/>
                <w:szCs w:val="24"/>
              </w:rPr>
              <w:t>Viceministerio de Gobernanza</w:t>
            </w:r>
          </w:p>
          <w:p w:rsidR="00E83093" w:rsidRPr="00AB1FE2" w:rsidRDefault="00E83093" w:rsidP="00F320B6">
            <w:pPr>
              <w:widowControl w:val="0"/>
              <w:tabs>
                <w:tab w:val="left" w:pos="4536"/>
                <w:tab w:val="left" w:pos="4962"/>
              </w:tabs>
              <w:jc w:val="center"/>
              <w:rPr>
                <w:rFonts w:ascii="Cambria" w:hAnsi="Cambria" w:cs="Arial"/>
                <w:sz w:val="24"/>
                <w:szCs w:val="24"/>
                <w:highlight w:val="yellow"/>
              </w:rPr>
            </w:pPr>
          </w:p>
          <w:p w:rsidR="00E83093" w:rsidRPr="00AB1FE2" w:rsidRDefault="00E83093" w:rsidP="00F320B6">
            <w:pPr>
              <w:pStyle w:val="TableParagraph"/>
              <w:widowControl w:val="0"/>
              <w:snapToGrid w:val="0"/>
              <w:rPr>
                <w:rFonts w:ascii="Cambria" w:hAnsi="Cambria" w:cs="Arial"/>
                <w:sz w:val="24"/>
                <w:szCs w:val="24"/>
                <w:highlight w:val="yellow"/>
              </w:rPr>
            </w:pPr>
          </w:p>
          <w:p w:rsidR="00E83093" w:rsidRPr="00AB1FE2" w:rsidRDefault="00E83093" w:rsidP="00F320B6">
            <w:pPr>
              <w:pStyle w:val="TableParagraph"/>
              <w:widowControl w:val="0"/>
              <w:rPr>
                <w:rFonts w:ascii="Cambria" w:hAnsi="Cambria" w:cs="Arial"/>
                <w:sz w:val="24"/>
                <w:szCs w:val="24"/>
                <w:highlight w:val="yellow"/>
              </w:rPr>
            </w:pPr>
          </w:p>
          <w:p w:rsidR="00E83093" w:rsidRPr="00AB1FE2" w:rsidRDefault="00E83093" w:rsidP="00F320B6">
            <w:pPr>
              <w:widowControl w:val="0"/>
              <w:tabs>
                <w:tab w:val="left" w:pos="4536"/>
                <w:tab w:val="left" w:pos="4962"/>
              </w:tabs>
              <w:rPr>
                <w:rFonts w:ascii="Cambria" w:hAnsi="Cambria" w:cs="Arial"/>
                <w:sz w:val="24"/>
                <w:szCs w:val="24"/>
                <w:highlight w:val="yellow"/>
              </w:rPr>
            </w:pPr>
          </w:p>
          <w:p w:rsidR="00E83093" w:rsidRPr="00AB1FE2" w:rsidRDefault="00E83093" w:rsidP="00F320B6">
            <w:pPr>
              <w:pStyle w:val="TableParagraph"/>
              <w:widowControl w:val="0"/>
              <w:tabs>
                <w:tab w:val="left" w:pos="-5194"/>
              </w:tabs>
              <w:ind w:right="92"/>
              <w:jc w:val="center"/>
              <w:rPr>
                <w:rFonts w:ascii="Cambria" w:hAnsi="Cambria" w:cs="Arial"/>
                <w:sz w:val="24"/>
                <w:szCs w:val="24"/>
                <w:highlight w:val="yellow"/>
              </w:rPr>
            </w:pPr>
          </w:p>
        </w:tc>
      </w:tr>
    </w:tbl>
    <w:p w:rsidR="00E83093" w:rsidRPr="00AB1FE2" w:rsidRDefault="00E83093" w:rsidP="00E83093">
      <w:pPr>
        <w:rPr>
          <w:rFonts w:ascii="Cambria" w:hAnsi="Cambria" w:cs="Arial"/>
          <w:sz w:val="24"/>
          <w:szCs w:val="24"/>
        </w:rPr>
      </w:pPr>
    </w:p>
    <w:p w:rsidR="00E83093" w:rsidRPr="00AB1FE2" w:rsidRDefault="00E83093" w:rsidP="00E83093">
      <w:pPr>
        <w:ind w:right="702"/>
        <w:jc w:val="both"/>
        <w:rPr>
          <w:rFonts w:ascii="Cambria" w:hAnsi="Cambria"/>
          <w:sz w:val="24"/>
          <w:szCs w:val="24"/>
        </w:rPr>
      </w:pPr>
    </w:p>
    <w:p w:rsidR="004F2C64" w:rsidRPr="00AB1FE2" w:rsidRDefault="004F2C64" w:rsidP="00E83093">
      <w:pPr>
        <w:rPr>
          <w:rFonts w:ascii="Cambria" w:hAnsi="Cambria"/>
          <w:sz w:val="24"/>
          <w:szCs w:val="24"/>
        </w:rPr>
      </w:pPr>
    </w:p>
    <w:sectPr w:rsidR="004F2C64" w:rsidRPr="00AB1FE2">
      <w:headerReference w:type="default" r:id="rId9"/>
      <w:footerReference w:type="default" r:id="rId10"/>
      <w:pgSz w:w="11906" w:h="16838"/>
      <w:pgMar w:top="1580" w:right="1006" w:bottom="1769" w:left="1040" w:header="494" w:footer="1276" w:gutter="0"/>
      <w:cols w:space="720"/>
      <w:docGrid w:linePitch="240"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EE" w:rsidRDefault="00321EEE" w:rsidP="00F0050B">
      <w:r>
        <w:separator/>
      </w:r>
    </w:p>
  </w:endnote>
  <w:endnote w:type="continuationSeparator" w:id="0">
    <w:p w:rsidR="00321EEE" w:rsidRDefault="00321EEE" w:rsidP="00F0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WenQuanYi Micro Hei">
    <w:altName w:val="SimSun"/>
    <w:charset w:val="86"/>
    <w:family w:val="auto"/>
    <w:pitch w:val="default"/>
  </w:font>
  <w:font w:name="Lohit Devanagar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31" w:rsidRDefault="00581343">
    <w:pPr>
      <w:pStyle w:val="Piedepgina"/>
      <w:jc w:val="right"/>
    </w:pPr>
    <w:r>
      <w:rPr>
        <w:sz w:val="22"/>
        <w:szCs w:val="22"/>
      </w:rPr>
      <w:fldChar w:fldCharType="begin"/>
    </w:r>
    <w:r>
      <w:rPr>
        <w:sz w:val="22"/>
        <w:szCs w:val="22"/>
      </w:rPr>
      <w:instrText xml:space="preserve"> PAGE </w:instrText>
    </w:r>
    <w:r>
      <w:rPr>
        <w:sz w:val="22"/>
        <w:szCs w:val="22"/>
      </w:rPr>
      <w:fldChar w:fldCharType="separate"/>
    </w:r>
    <w:r w:rsidR="00876EE2">
      <w:rPr>
        <w:noProof/>
        <w:sz w:val="22"/>
        <w:szCs w:val="22"/>
      </w:rPr>
      <w:t>15</w:t>
    </w:r>
    <w:r>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EE" w:rsidRDefault="00321EEE" w:rsidP="00F0050B">
      <w:r>
        <w:separator/>
      </w:r>
    </w:p>
  </w:footnote>
  <w:footnote w:type="continuationSeparator" w:id="0">
    <w:p w:rsidR="00321EEE" w:rsidRDefault="00321EEE" w:rsidP="00F0050B">
      <w:r>
        <w:continuationSeparator/>
      </w:r>
    </w:p>
  </w:footnote>
  <w:footnote w:id="1">
    <w:p w:rsidR="00E83093" w:rsidRPr="003074AF" w:rsidRDefault="00E83093" w:rsidP="00E83093">
      <w:pPr>
        <w:pStyle w:val="Textonotapie"/>
        <w:rPr>
          <w:rFonts w:ascii="Arial" w:hAnsi="Arial" w:cs="Arial"/>
          <w:sz w:val="18"/>
          <w:szCs w:val="18"/>
        </w:rPr>
      </w:pPr>
      <w:r>
        <w:rPr>
          <w:rStyle w:val="Refdenotaalpie"/>
        </w:rPr>
        <w:footnoteRef/>
      </w:r>
      <w:r>
        <w:t xml:space="preserve"> </w:t>
      </w:r>
      <w:r w:rsidRPr="003074AF">
        <w:rPr>
          <w:rFonts w:ascii="Arial" w:hAnsi="Arial" w:cs="Arial"/>
          <w:sz w:val="18"/>
          <w:szCs w:val="18"/>
        </w:rPr>
        <w:t>Lineamientos Operativos de Respuesta Frente a Coronavirus COVID-19 MSP, 28 de febrero 2020</w:t>
      </w:r>
    </w:p>
  </w:footnote>
  <w:footnote w:id="2">
    <w:p w:rsidR="00E83093" w:rsidRDefault="00E83093" w:rsidP="00E83093">
      <w:pPr>
        <w:suppressAutoHyphens w:val="0"/>
        <w:autoSpaceDE w:val="0"/>
        <w:autoSpaceDN w:val="0"/>
        <w:adjustRightInd w:val="0"/>
        <w:rPr>
          <w:rFonts w:ascii="Arial" w:hAnsi="Arial" w:cs="Arial"/>
          <w:b/>
          <w:bCs/>
          <w:sz w:val="18"/>
          <w:szCs w:val="18"/>
          <w:lang w:eastAsia="es-EC"/>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C"/>
        </w:rPr>
        <w:t>NOTA TÉCNICA DNMDM-GIMEG-NT004-2020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31" w:rsidRDefault="00F0050B">
    <w:pPr>
      <w:tabs>
        <w:tab w:val="left" w:pos="5760"/>
      </w:tabs>
      <w:spacing w:line="200" w:lineRule="exact"/>
      <w:rPr>
        <w:rFonts w:cs="Calibri"/>
        <w:b/>
        <w:sz w:val="28"/>
        <w:szCs w:val="28"/>
      </w:rPr>
    </w:pPr>
    <w:r>
      <w:rPr>
        <w:noProof/>
        <w:lang w:val="es-ES" w:eastAsia="es-ES"/>
      </w:rPr>
      <w:drawing>
        <wp:anchor distT="0" distB="0" distL="114935" distR="114935" simplePos="0" relativeHeight="251659264" behindDoc="0" locked="0" layoutInCell="1" allowOverlap="1">
          <wp:simplePos x="0" y="0"/>
          <wp:positionH relativeFrom="column">
            <wp:align>center</wp:align>
          </wp:positionH>
          <wp:positionV relativeFrom="paragraph">
            <wp:posOffset>31115</wp:posOffset>
          </wp:positionV>
          <wp:extent cx="5038090" cy="8280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090" cy="828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420B31" w:rsidRDefault="00581343">
    <w:pPr>
      <w:tabs>
        <w:tab w:val="left" w:pos="5760"/>
      </w:tabs>
    </w:pPr>
    <w:r>
      <w:rPr>
        <w:sz w:val="10"/>
        <w:szCs w:val="10"/>
      </w:rPr>
      <w:tab/>
    </w:r>
  </w:p>
  <w:p w:rsidR="00420B31" w:rsidRDefault="00321EEE">
    <w:pPr>
      <w:ind w:left="170"/>
      <w:rPr>
        <w:rFonts w:ascii="Arial" w:hAnsi="Arial" w:cs="Arial"/>
        <w:b/>
        <w:bCs/>
        <w:color w:val="808080"/>
      </w:rPr>
    </w:pPr>
  </w:p>
  <w:p w:rsidR="00420B31" w:rsidRDefault="00321EEE">
    <w:pPr>
      <w:ind w:left="170"/>
      <w:rPr>
        <w:rFonts w:ascii="Arial" w:hAnsi="Arial" w:cs="Arial"/>
        <w:b/>
        <w:bCs/>
        <w:color w:val="808080"/>
      </w:rPr>
    </w:pPr>
  </w:p>
  <w:p w:rsidR="00420B31" w:rsidRDefault="00321EEE">
    <w:pPr>
      <w:ind w:left="170"/>
      <w:rPr>
        <w:rFonts w:ascii="Arial" w:hAnsi="Arial" w:cs="Arial"/>
        <w:b/>
        <w:bCs/>
        <w:color w:val="808080"/>
      </w:rPr>
    </w:pPr>
  </w:p>
  <w:p w:rsidR="00420B31" w:rsidRDefault="00321EEE">
    <w:pPr>
      <w:ind w:left="170"/>
      <w:jc w:val="center"/>
      <w:rPr>
        <w:rFonts w:ascii="Arial" w:hAnsi="Arial" w:cs="Arial"/>
        <w:b/>
        <w:bCs/>
        <w:color w:val="808080"/>
      </w:rPr>
    </w:pPr>
  </w:p>
  <w:p w:rsidR="00420B31" w:rsidRDefault="00321EEE">
    <w:pPr>
      <w:ind w:left="170"/>
      <w:jc w:val="center"/>
      <w:rPr>
        <w:rFonts w:ascii="Arial" w:hAnsi="Arial" w:cs="Arial"/>
        <w:b/>
        <w:bCs/>
        <w:color w:val="808080"/>
      </w:rPr>
    </w:pPr>
  </w:p>
  <w:p w:rsidR="00420B31" w:rsidRDefault="00321EEE">
    <w:pPr>
      <w:spacing w:line="200" w:lineRule="exact"/>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6" w:hanging="360"/>
      </w:pPr>
      <w:rPr>
        <w:rFonts w:ascii="Symbol" w:hAnsi="Symbol" w:cs="OpenSymbol"/>
        <w:sz w:val="22"/>
        <w:szCs w:val="22"/>
        <w:lang w:val="es-ES"/>
      </w:rPr>
    </w:lvl>
    <w:lvl w:ilvl="1">
      <w:start w:val="1"/>
      <w:numFmt w:val="bullet"/>
      <w:lvlText w:val="◦"/>
      <w:lvlJc w:val="left"/>
      <w:pPr>
        <w:tabs>
          <w:tab w:val="num" w:pos="0"/>
        </w:tabs>
        <w:ind w:left="1146" w:hanging="360"/>
      </w:pPr>
      <w:rPr>
        <w:rFonts w:ascii="OpenSymbol" w:hAnsi="OpenSymbol" w:cs="OpenSymbol"/>
      </w:rPr>
    </w:lvl>
    <w:lvl w:ilvl="2">
      <w:start w:val="1"/>
      <w:numFmt w:val="bullet"/>
      <w:lvlText w:val="▪"/>
      <w:lvlJc w:val="left"/>
      <w:pPr>
        <w:tabs>
          <w:tab w:val="num" w:pos="0"/>
        </w:tabs>
        <w:ind w:left="1506" w:hanging="360"/>
      </w:pPr>
      <w:rPr>
        <w:rFonts w:ascii="OpenSymbol" w:hAnsi="OpenSymbol" w:cs="OpenSymbol"/>
      </w:rPr>
    </w:lvl>
    <w:lvl w:ilvl="3">
      <w:start w:val="1"/>
      <w:numFmt w:val="bullet"/>
      <w:lvlText w:val=""/>
      <w:lvlJc w:val="left"/>
      <w:pPr>
        <w:tabs>
          <w:tab w:val="num" w:pos="0"/>
        </w:tabs>
        <w:ind w:left="1866" w:hanging="360"/>
      </w:pPr>
      <w:rPr>
        <w:rFonts w:ascii="Symbol" w:hAnsi="Symbol" w:cs="OpenSymbol"/>
        <w:sz w:val="22"/>
        <w:szCs w:val="22"/>
        <w:lang w:val="es-ES"/>
      </w:rPr>
    </w:lvl>
    <w:lvl w:ilvl="4">
      <w:start w:val="1"/>
      <w:numFmt w:val="bullet"/>
      <w:lvlText w:val="◦"/>
      <w:lvlJc w:val="left"/>
      <w:pPr>
        <w:tabs>
          <w:tab w:val="num" w:pos="0"/>
        </w:tabs>
        <w:ind w:left="2226" w:hanging="360"/>
      </w:pPr>
      <w:rPr>
        <w:rFonts w:ascii="OpenSymbol" w:hAnsi="OpenSymbol" w:cs="OpenSymbol"/>
      </w:rPr>
    </w:lvl>
    <w:lvl w:ilvl="5">
      <w:start w:val="1"/>
      <w:numFmt w:val="bullet"/>
      <w:lvlText w:val="▪"/>
      <w:lvlJc w:val="left"/>
      <w:pPr>
        <w:tabs>
          <w:tab w:val="num" w:pos="0"/>
        </w:tabs>
        <w:ind w:left="2586" w:hanging="360"/>
      </w:pPr>
      <w:rPr>
        <w:rFonts w:ascii="OpenSymbol" w:hAnsi="OpenSymbol" w:cs="OpenSymbol"/>
      </w:rPr>
    </w:lvl>
    <w:lvl w:ilvl="6">
      <w:start w:val="1"/>
      <w:numFmt w:val="bullet"/>
      <w:lvlText w:val=""/>
      <w:lvlJc w:val="left"/>
      <w:pPr>
        <w:tabs>
          <w:tab w:val="num" w:pos="0"/>
        </w:tabs>
        <w:ind w:left="2946" w:hanging="360"/>
      </w:pPr>
      <w:rPr>
        <w:rFonts w:ascii="Symbol" w:hAnsi="Symbol" w:cs="OpenSymbol"/>
        <w:sz w:val="22"/>
        <w:szCs w:val="22"/>
        <w:lang w:val="es-ES"/>
      </w:rPr>
    </w:lvl>
    <w:lvl w:ilvl="7">
      <w:start w:val="1"/>
      <w:numFmt w:val="bullet"/>
      <w:lvlText w:val="◦"/>
      <w:lvlJc w:val="left"/>
      <w:pPr>
        <w:tabs>
          <w:tab w:val="num" w:pos="0"/>
        </w:tabs>
        <w:ind w:left="3306" w:hanging="360"/>
      </w:pPr>
      <w:rPr>
        <w:rFonts w:ascii="OpenSymbol" w:hAnsi="OpenSymbol" w:cs="OpenSymbol"/>
      </w:rPr>
    </w:lvl>
    <w:lvl w:ilvl="8">
      <w:start w:val="1"/>
      <w:numFmt w:val="bullet"/>
      <w:lvlText w:val="▪"/>
      <w:lvlJc w:val="left"/>
      <w:pPr>
        <w:tabs>
          <w:tab w:val="num" w:pos="0"/>
        </w:tabs>
        <w:ind w:left="3666"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Arial" w:hAnsi="Arial" w:cs="OpenSymbol"/>
      </w:rPr>
    </w:lvl>
    <w:lvl w:ilvl="1">
      <w:start w:val="1"/>
      <w:numFmt w:val="decimal"/>
      <w:lvlText w:val="%2."/>
      <w:lvlJc w:val="left"/>
      <w:pPr>
        <w:tabs>
          <w:tab w:val="num" w:pos="0"/>
        </w:tabs>
        <w:ind w:left="1080" w:hanging="360"/>
      </w:pPr>
      <w:rPr>
        <w:rFonts w:cs="OpenSymbol"/>
      </w:rPr>
    </w:lvl>
    <w:lvl w:ilvl="2">
      <w:start w:val="1"/>
      <w:numFmt w:val="decimal"/>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0"/>
        </w:tabs>
        <w:ind w:left="720" w:hanging="360"/>
      </w:pPr>
      <w:rPr>
        <w:rFonts w:ascii="Symbol" w:hAnsi="Symbol" w:cs="OpenSymbol"/>
        <w:spacing w:val="-2"/>
        <w:sz w:val="22"/>
        <w:szCs w:val="22"/>
        <w:lang w:val="es-E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pacing w:val="-2"/>
        <w:sz w:val="22"/>
        <w:szCs w:val="22"/>
        <w:lang w:val="es-E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pacing w:val="-2"/>
        <w:sz w:val="22"/>
        <w:szCs w:val="22"/>
        <w:lang w:val="es-E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15:restartNumberingAfterBreak="0">
    <w:nsid w:val="2D833B79"/>
    <w:multiLevelType w:val="multilevel"/>
    <w:tmpl w:val="57D047C2"/>
    <w:lvl w:ilvl="0">
      <w:start w:val="1"/>
      <w:numFmt w:val="decimal"/>
      <w:lvlText w:val="%1."/>
      <w:lvlJc w:val="left"/>
      <w:pPr>
        <w:ind w:left="720" w:hanging="360"/>
      </w:pPr>
      <w:rPr>
        <w:rFonts w:eastAsia="Times New Roman"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CC16F3E"/>
    <w:multiLevelType w:val="hybridMultilevel"/>
    <w:tmpl w:val="F6129C5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25F6EC0"/>
    <w:multiLevelType w:val="hybridMultilevel"/>
    <w:tmpl w:val="9970E26E"/>
    <w:lvl w:ilvl="0" w:tplc="D3ECB468">
      <w:start w:val="3"/>
      <w:numFmt w:val="bullet"/>
      <w:lvlText w:val="-"/>
      <w:lvlJc w:val="left"/>
      <w:pPr>
        <w:ind w:left="720" w:hanging="360"/>
      </w:pPr>
      <w:rPr>
        <w:rFonts w:ascii="Cambria" w:eastAsia="Times New Roman" w:hAnsi="Cambri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CAE7F88"/>
    <w:multiLevelType w:val="multilevel"/>
    <w:tmpl w:val="57D047C2"/>
    <w:lvl w:ilvl="0">
      <w:start w:val="1"/>
      <w:numFmt w:val="decimal"/>
      <w:lvlText w:val="%1."/>
      <w:lvlJc w:val="left"/>
      <w:pPr>
        <w:ind w:left="720" w:hanging="360"/>
      </w:pPr>
      <w:rPr>
        <w:rFonts w:eastAsia="Times New Roman"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0"/>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0B"/>
    <w:rsid w:val="001702CB"/>
    <w:rsid w:val="001D55F6"/>
    <w:rsid w:val="00321EEE"/>
    <w:rsid w:val="003E5342"/>
    <w:rsid w:val="00477D2F"/>
    <w:rsid w:val="004E4CD2"/>
    <w:rsid w:val="004F2C64"/>
    <w:rsid w:val="00581343"/>
    <w:rsid w:val="00602B08"/>
    <w:rsid w:val="00876EE2"/>
    <w:rsid w:val="009539A1"/>
    <w:rsid w:val="009F6A3F"/>
    <w:rsid w:val="00A000B0"/>
    <w:rsid w:val="00AB1FE2"/>
    <w:rsid w:val="00AE3B9C"/>
    <w:rsid w:val="00B64273"/>
    <w:rsid w:val="00BD1F2B"/>
    <w:rsid w:val="00C55384"/>
    <w:rsid w:val="00C650C6"/>
    <w:rsid w:val="00D22CD1"/>
    <w:rsid w:val="00DB4D69"/>
    <w:rsid w:val="00E83093"/>
    <w:rsid w:val="00F0050B"/>
    <w:rsid w:val="00F879B2"/>
    <w:rsid w:val="00FC072B"/>
    <w:rsid w:val="00FE20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0D2C7"/>
  <w15:chartTrackingRefBased/>
  <w15:docId w15:val="{F163701A-EFEE-48D9-8B8E-653F53EA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50B"/>
    <w:pPr>
      <w:suppressAutoHyphens/>
      <w:spacing w:after="0" w:line="240" w:lineRule="auto"/>
    </w:pPr>
    <w:rPr>
      <w:rFonts w:ascii="Times New Roman" w:eastAsia="Times New Roman" w:hAnsi="Times New Roman" w:cs="Times New Roman"/>
      <w:sz w:val="20"/>
      <w:szCs w:val="20"/>
      <w:lang w:eastAsia="zh-CN"/>
    </w:rPr>
  </w:style>
  <w:style w:type="paragraph" w:styleId="Ttulo2">
    <w:name w:val="heading 2"/>
    <w:basedOn w:val="Normal"/>
    <w:next w:val="Textoindependiente"/>
    <w:link w:val="Ttulo2Car"/>
    <w:qFormat/>
    <w:rsid w:val="00F0050B"/>
    <w:pPr>
      <w:keepNext/>
      <w:numPr>
        <w:ilvl w:val="1"/>
        <w:numId w:val="1"/>
      </w:numPr>
      <w:tabs>
        <w:tab w:val="left" w:pos="0"/>
      </w:tabs>
      <w:spacing w:before="240" w:after="120"/>
      <w:outlineLvl w:val="1"/>
    </w:pPr>
    <w:rPr>
      <w:rFonts w:ascii="Liberation Sans" w:eastAsia="WenQuanYi Micro Hei" w:hAnsi="Liberation Sans" w:cs="Lohit Devanagar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0050B"/>
    <w:rPr>
      <w:rFonts w:ascii="Liberation Sans" w:eastAsia="WenQuanYi Micro Hei" w:hAnsi="Liberation Sans" w:cs="Lohit Devanagari"/>
      <w:sz w:val="28"/>
      <w:szCs w:val="28"/>
      <w:lang w:eastAsia="zh-CN"/>
    </w:rPr>
  </w:style>
  <w:style w:type="paragraph" w:styleId="Textoindependiente">
    <w:name w:val="Body Text"/>
    <w:basedOn w:val="Normal"/>
    <w:link w:val="TextoindependienteCar"/>
    <w:rsid w:val="00F0050B"/>
    <w:pPr>
      <w:ind w:left="662"/>
    </w:pPr>
    <w:rPr>
      <w:rFonts w:ascii="Arial" w:eastAsia="Arial" w:hAnsi="Arial" w:cs="Arial"/>
    </w:rPr>
  </w:style>
  <w:style w:type="character" w:customStyle="1" w:styleId="TextoindependienteCar">
    <w:name w:val="Texto independiente Car"/>
    <w:basedOn w:val="Fuentedeprrafopredeter"/>
    <w:link w:val="Textoindependiente"/>
    <w:rsid w:val="00F0050B"/>
    <w:rPr>
      <w:rFonts w:ascii="Arial" w:eastAsia="Arial" w:hAnsi="Arial" w:cs="Arial"/>
      <w:sz w:val="20"/>
      <w:szCs w:val="20"/>
      <w:lang w:eastAsia="zh-CN"/>
    </w:rPr>
  </w:style>
  <w:style w:type="paragraph" w:customStyle="1" w:styleId="Sinespaciado1">
    <w:name w:val="Sin espaciado1"/>
    <w:rsid w:val="00F0050B"/>
    <w:pPr>
      <w:suppressAutoHyphens/>
      <w:overflowPunct w:val="0"/>
      <w:spacing w:after="0" w:line="240" w:lineRule="auto"/>
      <w:ind w:right="-119"/>
      <w:jc w:val="both"/>
    </w:pPr>
    <w:rPr>
      <w:rFonts w:ascii="Times New Roman" w:eastAsia="Times New Roman" w:hAnsi="Times New Roman" w:cs="Times New Roman"/>
      <w:color w:val="000000"/>
      <w:sz w:val="20"/>
      <w:szCs w:val="20"/>
      <w:lang w:eastAsia="zh-CN"/>
    </w:rPr>
  </w:style>
  <w:style w:type="paragraph" w:customStyle="1" w:styleId="Default">
    <w:name w:val="Default"/>
    <w:rsid w:val="00F0050B"/>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Ttulo11">
    <w:name w:val="Título 11"/>
    <w:basedOn w:val="Normal"/>
    <w:rsid w:val="00F0050B"/>
    <w:pPr>
      <w:spacing w:before="74"/>
      <w:ind w:left="1022" w:hanging="360"/>
    </w:pPr>
    <w:rPr>
      <w:rFonts w:ascii="Arial" w:eastAsia="Arial" w:hAnsi="Arial" w:cs="Arial"/>
      <w:b/>
      <w:bCs/>
      <w:u w:val="single"/>
    </w:rPr>
  </w:style>
  <w:style w:type="paragraph" w:customStyle="1" w:styleId="TableParagraph">
    <w:name w:val="Table Paragraph"/>
    <w:basedOn w:val="Normal"/>
    <w:rsid w:val="00F0050B"/>
  </w:style>
  <w:style w:type="paragraph" w:customStyle="1" w:styleId="Prrafodelista1">
    <w:name w:val="Párrafo de lista1"/>
    <w:basedOn w:val="Normal"/>
    <w:rsid w:val="00F0050B"/>
  </w:style>
  <w:style w:type="paragraph" w:styleId="Piedepgina">
    <w:name w:val="footer"/>
    <w:basedOn w:val="Normal"/>
    <w:link w:val="PiedepginaCar"/>
    <w:rsid w:val="00F0050B"/>
    <w:pPr>
      <w:tabs>
        <w:tab w:val="center" w:pos="4419"/>
        <w:tab w:val="right" w:pos="8838"/>
      </w:tabs>
    </w:pPr>
  </w:style>
  <w:style w:type="character" w:customStyle="1" w:styleId="PiedepginaCar">
    <w:name w:val="Pie de página Car"/>
    <w:basedOn w:val="Fuentedeprrafopredeter"/>
    <w:link w:val="Piedepgina"/>
    <w:rsid w:val="00F0050B"/>
    <w:rPr>
      <w:rFonts w:ascii="Times New Roman" w:eastAsia="Times New Roman" w:hAnsi="Times New Roman" w:cs="Times New Roman"/>
      <w:sz w:val="20"/>
      <w:szCs w:val="20"/>
      <w:lang w:eastAsia="zh-CN"/>
    </w:rPr>
  </w:style>
  <w:style w:type="paragraph" w:styleId="Prrafodelista">
    <w:name w:val="List Paragraph"/>
    <w:aliases w:val="TIT 2 IND"/>
    <w:basedOn w:val="Normal"/>
    <w:link w:val="PrrafodelistaCar"/>
    <w:uiPriority w:val="99"/>
    <w:qFormat/>
    <w:rsid w:val="00F0050B"/>
    <w:pPr>
      <w:ind w:left="708"/>
    </w:pPr>
  </w:style>
  <w:style w:type="paragraph" w:styleId="NormalWeb">
    <w:name w:val="Normal (Web)"/>
    <w:basedOn w:val="Normal"/>
    <w:uiPriority w:val="99"/>
    <w:semiHidden/>
    <w:unhideWhenUsed/>
    <w:rsid w:val="00F0050B"/>
    <w:pPr>
      <w:suppressAutoHyphens w:val="0"/>
      <w:spacing w:before="100" w:beforeAutospacing="1" w:after="100" w:afterAutospacing="1"/>
    </w:pPr>
    <w:rPr>
      <w:sz w:val="24"/>
      <w:szCs w:val="24"/>
      <w:lang w:eastAsia="es-EC"/>
    </w:rPr>
  </w:style>
  <w:style w:type="character" w:styleId="nfasis">
    <w:name w:val="Emphasis"/>
    <w:uiPriority w:val="20"/>
    <w:qFormat/>
    <w:rsid w:val="00F0050B"/>
    <w:rPr>
      <w:i/>
      <w:iCs/>
    </w:rPr>
  </w:style>
  <w:style w:type="character" w:styleId="Textoennegrita">
    <w:name w:val="Strong"/>
    <w:uiPriority w:val="22"/>
    <w:qFormat/>
    <w:rsid w:val="00F0050B"/>
    <w:rPr>
      <w:b/>
      <w:bCs/>
    </w:rPr>
  </w:style>
  <w:style w:type="character" w:customStyle="1" w:styleId="PrrafodelistaCar">
    <w:name w:val="Párrafo de lista Car"/>
    <w:aliases w:val="TIT 2 IND Car"/>
    <w:link w:val="Prrafodelista"/>
    <w:uiPriority w:val="99"/>
    <w:qFormat/>
    <w:locked/>
    <w:rsid w:val="00F0050B"/>
    <w:rPr>
      <w:rFonts w:ascii="Times New Roman" w:eastAsia="Times New Roman" w:hAnsi="Times New Roman" w:cs="Times New Roman"/>
      <w:sz w:val="20"/>
      <w:szCs w:val="20"/>
      <w:lang w:eastAsia="zh-CN"/>
    </w:rPr>
  </w:style>
  <w:style w:type="character" w:customStyle="1" w:styleId="nrmar">
    <w:name w:val="nrmar"/>
    <w:rsid w:val="00F0050B"/>
  </w:style>
  <w:style w:type="character" w:styleId="Refdecomentario">
    <w:name w:val="annotation reference"/>
    <w:uiPriority w:val="99"/>
    <w:semiHidden/>
    <w:unhideWhenUsed/>
    <w:rsid w:val="00F0050B"/>
    <w:rPr>
      <w:sz w:val="16"/>
      <w:szCs w:val="16"/>
    </w:rPr>
  </w:style>
  <w:style w:type="paragraph" w:styleId="Textocomentario">
    <w:name w:val="annotation text"/>
    <w:basedOn w:val="Normal"/>
    <w:link w:val="TextocomentarioCar"/>
    <w:uiPriority w:val="99"/>
    <w:semiHidden/>
    <w:unhideWhenUsed/>
    <w:rsid w:val="00F0050B"/>
  </w:style>
  <w:style w:type="character" w:customStyle="1" w:styleId="TextocomentarioCar">
    <w:name w:val="Texto comentario Car"/>
    <w:basedOn w:val="Fuentedeprrafopredeter"/>
    <w:link w:val="Textocomentario"/>
    <w:uiPriority w:val="99"/>
    <w:semiHidden/>
    <w:rsid w:val="00F0050B"/>
    <w:rPr>
      <w:rFonts w:ascii="Times New Roman" w:eastAsia="Times New Roman" w:hAnsi="Times New Roman" w:cs="Times New Roman"/>
      <w:sz w:val="20"/>
      <w:szCs w:val="20"/>
      <w:lang w:eastAsia="zh-CN"/>
    </w:rPr>
  </w:style>
  <w:style w:type="paragraph" w:styleId="Textodeglobo">
    <w:name w:val="Balloon Text"/>
    <w:basedOn w:val="Normal"/>
    <w:link w:val="TextodegloboCar"/>
    <w:uiPriority w:val="99"/>
    <w:semiHidden/>
    <w:unhideWhenUsed/>
    <w:rsid w:val="00F005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50B"/>
    <w:rPr>
      <w:rFonts w:ascii="Segoe UI" w:eastAsia="Times New Roman" w:hAnsi="Segoe UI" w:cs="Segoe UI"/>
      <w:sz w:val="18"/>
      <w:szCs w:val="18"/>
      <w:lang w:eastAsia="zh-CN"/>
    </w:rPr>
  </w:style>
  <w:style w:type="paragraph" w:styleId="Encabezado">
    <w:name w:val="header"/>
    <w:basedOn w:val="Normal"/>
    <w:link w:val="EncabezadoCar"/>
    <w:uiPriority w:val="99"/>
    <w:unhideWhenUsed/>
    <w:rsid w:val="00F0050B"/>
    <w:pPr>
      <w:tabs>
        <w:tab w:val="center" w:pos="4419"/>
        <w:tab w:val="right" w:pos="8838"/>
      </w:tabs>
    </w:pPr>
  </w:style>
  <w:style w:type="character" w:customStyle="1" w:styleId="EncabezadoCar">
    <w:name w:val="Encabezado Car"/>
    <w:basedOn w:val="Fuentedeprrafopredeter"/>
    <w:link w:val="Encabezado"/>
    <w:uiPriority w:val="99"/>
    <w:rsid w:val="00F0050B"/>
    <w:rPr>
      <w:rFonts w:ascii="Times New Roman" w:eastAsia="Times New Roman" w:hAnsi="Times New Roman" w:cs="Times New Roman"/>
      <w:sz w:val="20"/>
      <w:szCs w:val="20"/>
      <w:lang w:eastAsia="zh-CN"/>
    </w:rPr>
  </w:style>
  <w:style w:type="paragraph" w:customStyle="1" w:styleId="Contenidodelatabla">
    <w:name w:val="Contenido de la tabla"/>
    <w:basedOn w:val="Normal"/>
    <w:rsid w:val="00E83093"/>
  </w:style>
  <w:style w:type="paragraph" w:styleId="Textonotapie">
    <w:name w:val="footnote text"/>
    <w:basedOn w:val="Normal"/>
    <w:link w:val="TextonotapieCar"/>
    <w:uiPriority w:val="99"/>
    <w:semiHidden/>
    <w:unhideWhenUsed/>
    <w:rsid w:val="00E83093"/>
  </w:style>
  <w:style w:type="character" w:customStyle="1" w:styleId="TextonotapieCar">
    <w:name w:val="Texto nota pie Car"/>
    <w:basedOn w:val="Fuentedeprrafopredeter"/>
    <w:link w:val="Textonotapie"/>
    <w:uiPriority w:val="99"/>
    <w:semiHidden/>
    <w:rsid w:val="00E83093"/>
    <w:rPr>
      <w:rFonts w:ascii="Times New Roman" w:eastAsia="Times New Roman" w:hAnsi="Times New Roman" w:cs="Times New Roman"/>
      <w:sz w:val="20"/>
      <w:szCs w:val="20"/>
      <w:lang w:eastAsia="zh-CN"/>
    </w:rPr>
  </w:style>
  <w:style w:type="character" w:styleId="Refdenotaalpie">
    <w:name w:val="footnote reference"/>
    <w:uiPriority w:val="99"/>
    <w:semiHidden/>
    <w:unhideWhenUsed/>
    <w:rsid w:val="00E83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4516</Words>
  <Characters>24844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Gabriela Auquillas Gallo</dc:creator>
  <cp:keywords/>
  <dc:description/>
  <cp:lastModifiedBy>Grace Amparito Reyes Yungan</cp:lastModifiedBy>
  <cp:revision>5</cp:revision>
  <dcterms:created xsi:type="dcterms:W3CDTF">2020-03-25T22:41:00Z</dcterms:created>
  <dcterms:modified xsi:type="dcterms:W3CDTF">2020-03-26T17:36:00Z</dcterms:modified>
</cp:coreProperties>
</file>