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20" w:hanging="720"/>
        <w:jc w:val="center"/>
        <w:rPr>
          <w:rFonts w:asciiTheme="minorHAnsi" w:hAnsiTheme="minorHAnsi" w:cstheme="minorHAnsi"/>
          <w:sz w:val="20"/>
          <w:szCs w:val="20"/>
          <w:lang w:val="es-EC" w:eastAsia="es-ES"/>
        </w:rPr>
      </w:pPr>
    </w:p>
    <w:p>
      <w:pPr>
        <w:jc w:val="center"/>
        <w:rPr>
          <w:rFonts w:asciiTheme="minorHAnsi" w:hAnsiTheme="minorHAnsi" w:cstheme="minorHAnsi"/>
          <w:sz w:val="20"/>
          <w:szCs w:val="20"/>
          <w:lang w:val="es-EC"/>
        </w:rPr>
      </w:pPr>
      <w:r>
        <w:rPr>
          <w:rFonts w:asciiTheme="minorHAnsi" w:hAnsiTheme="minorHAnsi" w:cstheme="minorHAnsi"/>
          <w:sz w:val="20"/>
          <w:szCs w:val="20"/>
          <w:lang w:val="es-ES" w:eastAsia="es-ES"/>
        </w:rPr>
        <w:drawing>
          <wp:inline distT="0" distB="0" distL="0" distR="0">
            <wp:extent cx="2855595" cy="966470"/>
            <wp:effectExtent l="19050" t="0" r="190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pic:cNvPicPr>
                      <a:picLocks noChangeAspect="1" noChangeArrowheads="1"/>
                    </pic:cNvPicPr>
                  </pic:nvPicPr>
                  <pic:blipFill>
                    <a:blip r:embed="rId19" cstate="print"/>
                    <a:srcRect/>
                    <a:stretch>
                      <a:fillRect/>
                    </a:stretch>
                  </pic:blipFill>
                  <pic:spPr>
                    <a:xfrm>
                      <a:off x="0" y="0"/>
                      <a:ext cx="2855595" cy="966470"/>
                    </a:xfrm>
                    <a:prstGeom prst="rect">
                      <a:avLst/>
                    </a:prstGeom>
                    <a:noFill/>
                    <a:ln w="9525">
                      <a:noFill/>
                      <a:miter lim="800000"/>
                      <a:headEnd/>
                      <a:tailEnd/>
                    </a:ln>
                  </pic:spPr>
                </pic:pic>
              </a:graphicData>
            </a:graphic>
          </wp:inline>
        </w:drawing>
      </w:r>
    </w:p>
    <w:p>
      <w:pPr>
        <w:rPr>
          <w:rFonts w:asciiTheme="minorHAnsi" w:hAnsiTheme="minorHAnsi" w:cstheme="minorHAnsi"/>
          <w:sz w:val="20"/>
          <w:szCs w:val="20"/>
          <w:lang w:val="es-EC"/>
        </w:rPr>
      </w:pPr>
    </w:p>
    <w:p>
      <w:pPr>
        <w:pStyle w:val="97"/>
        <w:rPr>
          <w:rFonts w:asciiTheme="minorHAnsi" w:hAnsiTheme="minorHAnsi" w:cstheme="minorHAnsi"/>
          <w:b/>
          <w:sz w:val="20"/>
          <w:szCs w:val="20"/>
          <w:shd w:val="clear" w:color="auto" w:fill="FFFFFF"/>
          <w:lang w:val="es-EC"/>
        </w:rPr>
      </w:pPr>
    </w:p>
    <w:p>
      <w:pPr>
        <w:jc w:val="center"/>
        <w:rPr>
          <w:rFonts w:asciiTheme="minorHAnsi" w:hAnsiTheme="minorHAnsi" w:cstheme="minorHAnsi"/>
          <w:b/>
          <w:bCs/>
          <w:sz w:val="20"/>
          <w:szCs w:val="20"/>
          <w:shd w:val="clear" w:color="auto" w:fill="FFFFFF"/>
          <w:lang w:val="es-EC"/>
        </w:rPr>
      </w:pPr>
    </w:p>
    <w:p>
      <w:pPr>
        <w:jc w:val="center"/>
        <w:rPr>
          <w:rFonts w:asciiTheme="minorHAnsi" w:hAnsiTheme="minorHAnsi" w:cstheme="minorHAnsi"/>
          <w:b/>
          <w:bCs/>
          <w:sz w:val="20"/>
          <w:szCs w:val="20"/>
          <w:shd w:val="clear" w:color="auto" w:fill="FFFFFF"/>
          <w:lang w:val="es-EC"/>
        </w:rPr>
      </w:pPr>
      <w:r>
        <w:rPr>
          <w:rFonts w:asciiTheme="minorHAnsi" w:hAnsiTheme="minorHAnsi" w:cstheme="minorHAnsi"/>
          <w:b/>
          <w:bCs/>
          <w:sz w:val="20"/>
          <w:szCs w:val="20"/>
          <w:shd w:val="clear" w:color="auto" w:fill="FFFFFF"/>
          <w:lang w:val="es-EC"/>
        </w:rPr>
        <w:t>“PROGRAMA MULTIFASE DE MEJORA DE LA CALIDAD EN LA PRESTACIÓN DE LOS SERVICIOS SOCIALES - FASE I”</w:t>
      </w:r>
    </w:p>
    <w:p>
      <w:pPr>
        <w:jc w:val="center"/>
        <w:rPr>
          <w:rFonts w:asciiTheme="minorHAnsi" w:hAnsiTheme="minorHAnsi" w:cstheme="minorHAnsi"/>
          <w:b/>
          <w:bCs/>
          <w:sz w:val="20"/>
          <w:szCs w:val="20"/>
          <w:shd w:val="clear" w:color="auto" w:fill="FFFFFF"/>
          <w:lang w:val="es-EC"/>
        </w:rPr>
      </w:pPr>
      <w:r>
        <w:rPr>
          <w:rFonts w:asciiTheme="minorHAnsi" w:hAnsiTheme="minorHAnsi" w:cstheme="minorHAnsi"/>
          <w:b/>
          <w:bCs/>
          <w:sz w:val="20"/>
          <w:szCs w:val="20"/>
          <w:shd w:val="clear" w:color="auto" w:fill="FFFFFF"/>
          <w:lang w:val="es-EC"/>
        </w:rPr>
        <w:t>(EC-L1227)</w:t>
      </w:r>
    </w:p>
    <w:p>
      <w:pPr>
        <w:jc w:val="center"/>
        <w:rPr>
          <w:rFonts w:asciiTheme="minorHAnsi" w:hAnsiTheme="minorHAnsi" w:cstheme="minorHAnsi"/>
          <w:b/>
          <w:bCs/>
          <w:sz w:val="20"/>
          <w:szCs w:val="20"/>
          <w:shd w:val="clear" w:color="auto" w:fill="FFFFFF"/>
          <w:lang w:val="es-EC"/>
        </w:rPr>
      </w:pPr>
    </w:p>
    <w:p>
      <w:pPr>
        <w:jc w:val="center"/>
        <w:rPr>
          <w:rFonts w:asciiTheme="minorHAnsi" w:hAnsiTheme="minorHAnsi" w:cstheme="minorHAnsi"/>
          <w:b/>
          <w:bCs/>
          <w:sz w:val="20"/>
          <w:szCs w:val="20"/>
          <w:shd w:val="clear" w:color="auto" w:fill="FFFFFF"/>
          <w:lang w:val="es-EC"/>
        </w:rPr>
      </w:pPr>
      <w:r>
        <w:rPr>
          <w:rFonts w:asciiTheme="minorHAnsi" w:hAnsiTheme="minorHAnsi" w:cstheme="minorHAnsi"/>
          <w:b/>
          <w:bCs/>
          <w:sz w:val="20"/>
          <w:szCs w:val="20"/>
          <w:shd w:val="clear" w:color="auto" w:fill="FFFFFF"/>
          <w:lang w:val="es-EC"/>
        </w:rPr>
        <w:t>CONTRATO DE PRÉSTAMO NO. 4364/OC-EC</w:t>
      </w:r>
    </w:p>
    <w:p>
      <w:pPr>
        <w:pStyle w:val="27"/>
        <w:jc w:val="both"/>
        <w:rPr>
          <w:rFonts w:asciiTheme="minorHAnsi" w:hAnsiTheme="minorHAnsi" w:cstheme="minorHAnsi"/>
          <w:b/>
          <w:sz w:val="20"/>
          <w:szCs w:val="20"/>
          <w:lang w:val="es-EC"/>
        </w:rPr>
      </w:pPr>
    </w:p>
    <w:p>
      <w:pPr>
        <w:jc w:val="center"/>
        <w:rPr>
          <w:rFonts w:asciiTheme="minorHAnsi" w:hAnsiTheme="minorHAnsi" w:cstheme="minorHAnsi"/>
          <w:b/>
          <w:bCs/>
          <w:sz w:val="20"/>
          <w:szCs w:val="20"/>
          <w:shd w:val="clear" w:color="auto" w:fill="FFFFFF"/>
          <w:lang w:val="es-EC"/>
        </w:rPr>
      </w:pPr>
      <w:r>
        <w:rPr>
          <w:rFonts w:asciiTheme="minorHAnsi" w:hAnsiTheme="minorHAnsi" w:cstheme="minorHAnsi"/>
          <w:b/>
          <w:bCs/>
          <w:sz w:val="20"/>
          <w:szCs w:val="20"/>
          <w:shd w:val="clear" w:color="auto" w:fill="FFFFFF"/>
          <w:lang w:val="es-EC"/>
        </w:rPr>
        <w:t>DOCUMENTOS DE LICITACIÓN</w:t>
      </w:r>
    </w:p>
    <w:p>
      <w:pPr>
        <w:pStyle w:val="27"/>
        <w:jc w:val="both"/>
        <w:rPr>
          <w:rFonts w:asciiTheme="minorHAnsi" w:hAnsiTheme="minorHAnsi" w:cstheme="minorHAnsi"/>
          <w:b/>
          <w:bCs/>
          <w:sz w:val="20"/>
          <w:szCs w:val="20"/>
          <w:shd w:val="clear" w:color="auto" w:fill="FFFFFF"/>
          <w:lang w:val="es-EC"/>
        </w:rPr>
      </w:pPr>
      <w:r>
        <w:rPr>
          <w:rFonts w:asciiTheme="minorHAnsi" w:hAnsiTheme="minorHAnsi" w:cstheme="minorHAnsi"/>
          <w:b/>
          <w:sz w:val="20"/>
          <w:szCs w:val="20"/>
          <w:lang w:val="es-EC"/>
        </w:rPr>
        <w:t>“ADQUISICIÓN DE EQUIPOS DE NEONATOLOGÍA PARA HOSPITALES DE SEGUNDO Y TERCER NIVEL DE ATENCIÓN PARA LAS ZONAS 1, 4 Y 9  (EQUIPAMIENTO DE NEONATOLOGIA EN HOSPITALES PRIORIZADOS INSTALADO)”.</w:t>
      </w:r>
    </w:p>
    <w:p>
      <w:pPr>
        <w:pStyle w:val="27"/>
        <w:jc w:val="center"/>
        <w:rPr>
          <w:rFonts w:asciiTheme="minorHAnsi" w:hAnsiTheme="minorHAnsi" w:cstheme="minorHAnsi"/>
          <w:b/>
          <w:bCs/>
          <w:sz w:val="20"/>
          <w:szCs w:val="20"/>
          <w:shd w:val="clear" w:color="auto" w:fill="FFFFFF"/>
          <w:lang w:val="es-EC"/>
        </w:rPr>
      </w:pPr>
    </w:p>
    <w:p>
      <w:pPr>
        <w:jc w:val="center"/>
        <w:rPr>
          <w:rFonts w:asciiTheme="minorHAnsi" w:hAnsiTheme="minorHAnsi" w:cstheme="minorHAnsi"/>
          <w:b/>
          <w:bCs/>
          <w:sz w:val="20"/>
          <w:szCs w:val="20"/>
          <w:shd w:val="clear" w:color="auto" w:fill="FFFFFF"/>
          <w:lang w:val="es-EC"/>
        </w:rPr>
      </w:pPr>
      <w:r>
        <w:rPr>
          <w:rFonts w:asciiTheme="minorHAnsi" w:hAnsiTheme="minorHAnsi" w:cstheme="minorHAnsi"/>
          <w:color w:val="92D050"/>
          <w:sz w:val="20"/>
          <w:szCs w:val="20"/>
          <w:lang w:val="es-ES" w:eastAsia="es-E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144780</wp:posOffset>
                </wp:positionV>
                <wp:extent cx="5715000" cy="0"/>
                <wp:effectExtent l="0" t="0" r="19050" b="19050"/>
                <wp:wrapNone/>
                <wp:docPr id="51" name="Line 13"/>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ln>
                      </wps:spPr>
                      <wps:bodyPr/>
                    </wps:wsp>
                  </a:graphicData>
                </a:graphic>
              </wp:anchor>
            </w:drawing>
          </mc:Choice>
          <mc:Fallback>
            <w:pict>
              <v:line id="Line 13" o:spid="_x0000_s1026" o:spt="20" style="position:absolute;left:0pt;margin-left:0pt;margin-top:11.4pt;height:0pt;width:450pt;z-index:251658240;mso-width-relative:page;mso-height-relative:page;" filled="f" stroked="t" coordsize="21600,21600" o:gfxdata="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jVz2fTAAAA&#10;BgEAAA8AAAAAAAAAAQAgAAAAIgAAAGRycy9kb3ducmV2LnhtbFBLAQIUABQAAAAIAIdO4kD9L/Za&#10;sAEAAFMDAAAOAAAAAAAAAAEAIAAAACIBAABkcnMvZTJvRG9jLnhtbFBLBQYAAAAABgAGAFkBAABE&#10;BQAAAAA=&#10;">
                <v:fill on="f" focussize="0,0"/>
                <v:stroke color="#000000" joinstyle="round"/>
                <v:imagedata o:title=""/>
                <o:lock v:ext="edit" aspectratio="f"/>
              </v:line>
            </w:pict>
          </mc:Fallback>
        </mc:AlternateContent>
      </w:r>
    </w:p>
    <w:p>
      <w:pPr>
        <w:jc w:val="center"/>
        <w:rPr>
          <w:rFonts w:asciiTheme="minorHAnsi" w:hAnsiTheme="minorHAnsi" w:cstheme="minorHAnsi"/>
          <w:b/>
          <w:bCs/>
          <w:sz w:val="20"/>
          <w:szCs w:val="20"/>
          <w:shd w:val="clear" w:color="auto" w:fill="FFFFFF"/>
        </w:rPr>
      </w:pPr>
      <w:r>
        <w:rPr>
          <w:rFonts w:asciiTheme="minorHAnsi" w:hAnsiTheme="minorHAnsi" w:cstheme="minorHAnsi"/>
          <w:b/>
          <w:bCs/>
          <w:sz w:val="20"/>
          <w:szCs w:val="20"/>
          <w:shd w:val="clear" w:color="auto" w:fill="FFFFFF"/>
        </w:rPr>
        <w:t xml:space="preserve">LPI-4364-001-2019 </w:t>
      </w:r>
    </w:p>
    <w:p>
      <w:pPr>
        <w:autoSpaceDE w:val="0"/>
        <w:autoSpaceDN w:val="0"/>
        <w:adjustRightInd w:val="0"/>
        <w:jc w:val="center"/>
        <w:rPr>
          <w:rFonts w:asciiTheme="minorHAnsi" w:hAnsiTheme="minorHAnsi" w:cstheme="minorHAnsi"/>
          <w:b/>
          <w:bCs/>
          <w:sz w:val="20"/>
          <w:szCs w:val="20"/>
          <w:shd w:val="clear" w:color="auto" w:fill="FFFFFF"/>
        </w:rPr>
      </w:pPr>
      <w:r>
        <w:rPr>
          <w:rFonts w:asciiTheme="minorHAnsi" w:hAnsiTheme="minorHAnsi" w:cstheme="minorHAnsi"/>
          <w:b/>
          <w:bCs/>
          <w:sz w:val="20"/>
          <w:szCs w:val="20"/>
          <w:shd w:val="clear" w:color="auto" w:fill="FFFFFF"/>
        </w:rPr>
        <w:t>MULTIFASE I-2-LPI-B-LPI-4364-001-2019</w:t>
      </w:r>
    </w:p>
    <w:p>
      <w:pPr>
        <w:jc w:val="center"/>
        <w:rPr>
          <w:rFonts w:asciiTheme="minorHAnsi" w:hAnsiTheme="minorHAnsi" w:cstheme="minorHAnsi"/>
          <w:b/>
          <w:bCs/>
          <w:sz w:val="20"/>
          <w:szCs w:val="20"/>
          <w:shd w:val="clear" w:color="auto" w:fill="FFFFFF"/>
          <w:lang w:val="es-EC"/>
        </w:rPr>
      </w:pPr>
      <w:r>
        <w:rPr>
          <w:rFonts w:asciiTheme="minorHAnsi" w:hAnsiTheme="minorHAnsi" w:cstheme="minorHAnsi"/>
          <w:b/>
          <w:bCs/>
          <w:sz w:val="20"/>
          <w:szCs w:val="20"/>
          <w:shd w:val="clear" w:color="auto" w:fill="FFFFFF"/>
          <w:lang w:val="es-EC"/>
        </w:rPr>
        <w:t>Octubre  2019</w:t>
      </w:r>
    </w:p>
    <w:p>
      <w:pPr>
        <w:rPr>
          <w:rFonts w:asciiTheme="minorHAnsi" w:hAnsiTheme="minorHAnsi" w:cstheme="minorHAnsi"/>
          <w:b/>
          <w:bCs/>
          <w:sz w:val="20"/>
          <w:szCs w:val="20"/>
          <w:shd w:val="clear" w:color="auto" w:fill="FFFFFF"/>
          <w:lang w:val="es-EC"/>
        </w:rPr>
      </w:pPr>
    </w:p>
    <w:p>
      <w:pPr>
        <w:rPr>
          <w:rFonts w:asciiTheme="minorHAnsi" w:hAnsiTheme="minorHAnsi" w:cstheme="minorHAnsi"/>
          <w:spacing w:val="80"/>
          <w:sz w:val="20"/>
          <w:szCs w:val="20"/>
          <w:lang w:val="es-EC"/>
        </w:rPr>
        <w:sectPr>
          <w:headerReference r:id="rId5" w:type="first"/>
          <w:footerReference r:id="rId7" w:type="first"/>
          <w:headerReference r:id="rId4" w:type="default"/>
          <w:footerReference r:id="rId6" w:type="default"/>
          <w:pgSz w:w="12240" w:h="15840"/>
          <w:pgMar w:top="1440" w:right="1440" w:bottom="1440" w:left="1440" w:header="720" w:footer="720" w:gutter="0"/>
          <w:cols w:space="720" w:num="1"/>
          <w:titlePg/>
          <w:docGrid w:linePitch="360" w:charSpace="0"/>
        </w:sectPr>
      </w:pPr>
    </w:p>
    <w:p>
      <w:pPr>
        <w:pStyle w:val="62"/>
        <w:jc w:val="center"/>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Tabla de Contenido</w:t>
      </w:r>
    </w:p>
    <w:p>
      <w:pPr>
        <w:pStyle w:val="15"/>
        <w:rPr>
          <w:rFonts w:eastAsia="Times New Roman" w:asciiTheme="minorHAnsi" w:hAnsiTheme="minorHAnsi" w:cstheme="minorHAnsi"/>
          <w:b w:val="0"/>
          <w:sz w:val="20"/>
          <w:szCs w:val="20"/>
          <w:lang w:val="es-EC" w:eastAsia="es-EC"/>
        </w:rPr>
      </w:pP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TOC \o "1-3" \h \z \u </w:instrText>
      </w:r>
      <w:r>
        <w:rPr>
          <w:rFonts w:asciiTheme="minorHAnsi" w:hAnsiTheme="minorHAnsi" w:cstheme="minorHAnsi"/>
          <w:sz w:val="20"/>
          <w:szCs w:val="20"/>
          <w:lang w:val="es-EC"/>
        </w:rPr>
        <w:fldChar w:fldCharType="separate"/>
      </w:r>
      <w:r>
        <w:fldChar w:fldCharType="begin"/>
      </w:r>
      <w:r>
        <w:instrText xml:space="preserve"> HYPERLINK \l "_Toc478103412" </w:instrText>
      </w:r>
      <w:r>
        <w:fldChar w:fldCharType="separate"/>
      </w:r>
      <w:r>
        <w:rPr>
          <w:rStyle w:val="44"/>
          <w:rFonts w:asciiTheme="minorHAnsi" w:hAnsiTheme="minorHAnsi" w:cstheme="minorHAnsi"/>
          <w:sz w:val="20"/>
          <w:szCs w:val="20"/>
          <w:lang w:val="es-EC"/>
        </w:rPr>
        <w:t>PARTE 1 PROCEDIMIENTOS DE LICITACIÓN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_Toc478103412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"_Toc478103413" </w:instrText>
      </w:r>
      <w:r>
        <w:fldChar w:fldCharType="separate"/>
      </w:r>
      <w:r>
        <w:rPr>
          <w:rStyle w:val="44"/>
          <w:rFonts w:asciiTheme="minorHAnsi" w:hAnsiTheme="minorHAnsi" w:cstheme="minorHAnsi"/>
          <w:sz w:val="20"/>
          <w:szCs w:val="20"/>
          <w:lang w:val="es-EC"/>
        </w:rPr>
        <w:t>SECCIÓN I. INSTRUCCIONES A LOS OFERENTES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_Toc478103413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"_Toc478103414" </w:instrText>
      </w:r>
      <w:r>
        <w:fldChar w:fldCharType="separate"/>
      </w:r>
      <w:r>
        <w:rPr>
          <w:rStyle w:val="44"/>
          <w:rFonts w:eastAsia="Times New Roman" w:asciiTheme="minorHAnsi" w:hAnsiTheme="minorHAnsi" w:cstheme="minorHAnsi"/>
          <w:b/>
          <w:bCs/>
          <w:sz w:val="20"/>
          <w:szCs w:val="20"/>
          <w:lang w:val="es-EC"/>
        </w:rPr>
        <w:t>A.</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GENERAL</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_Toc478103414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"_Toc478103415" </w:instrText>
      </w:r>
      <w:r>
        <w:fldChar w:fldCharType="separate"/>
      </w:r>
      <w:r>
        <w:rPr>
          <w:rStyle w:val="44"/>
          <w:rFonts w:asciiTheme="minorHAnsi" w:hAnsiTheme="minorHAnsi" w:cstheme="minorHAnsi"/>
          <w:b/>
          <w:sz w:val="20"/>
          <w:szCs w:val="20"/>
          <w:lang w:val="es-EC"/>
        </w:rPr>
        <w:t>1.</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Alcance de la Licitación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_Toc478103415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"_Toc478103416" </w:instrText>
      </w:r>
      <w:r>
        <w:fldChar w:fldCharType="separate"/>
      </w:r>
      <w:r>
        <w:rPr>
          <w:rStyle w:val="44"/>
          <w:rFonts w:asciiTheme="minorHAnsi" w:hAnsiTheme="minorHAnsi" w:cstheme="minorHAnsi"/>
          <w:b/>
          <w:sz w:val="20"/>
          <w:szCs w:val="20"/>
          <w:lang w:val="es-EC"/>
        </w:rPr>
        <w:t>2.</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Fuente de Fondos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_Toc478103416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"_Toc478103417" </w:instrText>
      </w:r>
      <w:r>
        <w:fldChar w:fldCharType="separate"/>
      </w:r>
      <w:r>
        <w:rPr>
          <w:rStyle w:val="44"/>
          <w:rFonts w:asciiTheme="minorHAnsi" w:hAnsiTheme="minorHAnsi" w:cstheme="minorHAnsi"/>
          <w:b/>
          <w:sz w:val="20"/>
          <w:szCs w:val="20"/>
          <w:lang w:val="es-EC"/>
        </w:rPr>
        <w:t>3.</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Fraude y Corrupción y Prácticas Prohibidas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_Toc478103417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"_Toc478103418" </w:instrText>
      </w:r>
      <w:r>
        <w:fldChar w:fldCharType="separate"/>
      </w:r>
      <w:r>
        <w:rPr>
          <w:rStyle w:val="44"/>
          <w:rFonts w:asciiTheme="minorHAnsi" w:hAnsiTheme="minorHAnsi" w:cstheme="minorHAnsi"/>
          <w:b/>
          <w:sz w:val="20"/>
          <w:szCs w:val="20"/>
          <w:lang w:val="es-EC"/>
        </w:rPr>
        <w:t>4.</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Oferentes Elegibles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_Toc478103418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"_Toc478103419" </w:instrText>
      </w:r>
      <w:r>
        <w:fldChar w:fldCharType="separate"/>
      </w:r>
      <w:r>
        <w:rPr>
          <w:rStyle w:val="44"/>
          <w:rFonts w:asciiTheme="minorHAnsi" w:hAnsiTheme="minorHAnsi" w:cstheme="minorHAnsi"/>
          <w:b/>
          <w:sz w:val="20"/>
          <w:szCs w:val="20"/>
          <w:lang w:val="es-EC"/>
        </w:rPr>
        <w:t>5.</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Elegibilidad de los Bienes y Servicios Conexos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_Toc478103419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"_Toc478103420" </w:instrText>
      </w:r>
      <w:r>
        <w:fldChar w:fldCharType="separate"/>
      </w:r>
      <w:r>
        <w:rPr>
          <w:rStyle w:val="44"/>
          <w:rFonts w:eastAsia="Times New Roman" w:asciiTheme="minorHAnsi" w:hAnsiTheme="minorHAnsi" w:cstheme="minorHAnsi"/>
          <w:b/>
          <w:bCs/>
          <w:sz w:val="20"/>
          <w:szCs w:val="20"/>
          <w:lang w:val="es-EC"/>
        </w:rPr>
        <w:t>B.</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CONTENIDO DE LOS DOCUMENTOS DE LICITACIÓN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"_Toc478103421" </w:instrText>
      </w:r>
      <w:r>
        <w:fldChar w:fldCharType="separate"/>
      </w:r>
      <w:r>
        <w:rPr>
          <w:rStyle w:val="44"/>
          <w:rFonts w:asciiTheme="minorHAnsi" w:hAnsiTheme="minorHAnsi" w:cstheme="minorHAnsi"/>
          <w:b/>
          <w:sz w:val="20"/>
          <w:szCs w:val="20"/>
          <w:lang w:val="es-EC"/>
        </w:rPr>
        <w:t>6.</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Secciones de los Documentos de Licitación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"_Toc478103422" </w:instrText>
      </w:r>
      <w:r>
        <w:fldChar w:fldCharType="separate"/>
      </w:r>
      <w:r>
        <w:rPr>
          <w:rStyle w:val="44"/>
          <w:rFonts w:asciiTheme="minorHAnsi" w:hAnsiTheme="minorHAnsi" w:cstheme="minorHAnsi"/>
          <w:b/>
          <w:sz w:val="20"/>
          <w:szCs w:val="20"/>
          <w:lang w:val="es-EC"/>
        </w:rPr>
        <w:t>7.</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Aclaración de los Documentos de Licitación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"_Toc478103423" </w:instrText>
      </w:r>
      <w:r>
        <w:fldChar w:fldCharType="separate"/>
      </w:r>
      <w:r>
        <w:rPr>
          <w:rStyle w:val="44"/>
          <w:rFonts w:asciiTheme="minorHAnsi" w:hAnsiTheme="minorHAnsi" w:cstheme="minorHAnsi"/>
          <w:b/>
          <w:sz w:val="20"/>
          <w:szCs w:val="20"/>
          <w:lang w:val="es-EC"/>
        </w:rPr>
        <w:t>8.</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Enmienda a los Documentos de Licitación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"_Toc478103424" </w:instrText>
      </w:r>
      <w:r>
        <w:fldChar w:fldCharType="separate"/>
      </w:r>
      <w:r>
        <w:rPr>
          <w:rStyle w:val="44"/>
          <w:rFonts w:eastAsia="Times New Roman" w:asciiTheme="minorHAnsi" w:hAnsiTheme="minorHAnsi" w:cstheme="minorHAnsi"/>
          <w:b/>
          <w:bCs/>
          <w:sz w:val="20"/>
          <w:szCs w:val="20"/>
          <w:lang w:val="es-EC"/>
        </w:rPr>
        <w:t>C.</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PREPARACIÓN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"_Toc478103425" </w:instrText>
      </w:r>
      <w:r>
        <w:fldChar w:fldCharType="separate"/>
      </w:r>
      <w:r>
        <w:rPr>
          <w:rStyle w:val="44"/>
          <w:rFonts w:asciiTheme="minorHAnsi" w:hAnsiTheme="minorHAnsi" w:cstheme="minorHAnsi"/>
          <w:b/>
          <w:sz w:val="20"/>
          <w:szCs w:val="20"/>
          <w:lang w:val="es-EC"/>
        </w:rPr>
        <w:t>9.</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Costo de la Oferta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"_Toc478103426" </w:instrText>
      </w:r>
      <w:r>
        <w:fldChar w:fldCharType="separate"/>
      </w:r>
      <w:r>
        <w:rPr>
          <w:rStyle w:val="44"/>
          <w:rFonts w:asciiTheme="minorHAnsi" w:hAnsiTheme="minorHAnsi" w:cstheme="minorHAnsi"/>
          <w:b/>
          <w:sz w:val="20"/>
          <w:szCs w:val="20"/>
          <w:lang w:val="es-EC"/>
        </w:rPr>
        <w:t>10.</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Idioma de la Oferta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"_Toc478103427" </w:instrText>
      </w:r>
      <w:r>
        <w:fldChar w:fldCharType="separate"/>
      </w:r>
      <w:r>
        <w:rPr>
          <w:rStyle w:val="44"/>
          <w:rFonts w:asciiTheme="minorHAnsi" w:hAnsiTheme="minorHAnsi" w:cstheme="minorHAnsi"/>
          <w:b/>
          <w:sz w:val="20"/>
          <w:szCs w:val="20"/>
          <w:lang w:val="es-EC"/>
        </w:rPr>
        <w:t>11.</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Documentos que Componen la Oferta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"_Toc478103428" </w:instrText>
      </w:r>
      <w:r>
        <w:fldChar w:fldCharType="separate"/>
      </w:r>
      <w:r>
        <w:rPr>
          <w:rStyle w:val="44"/>
          <w:rFonts w:asciiTheme="minorHAnsi" w:hAnsiTheme="minorHAnsi" w:cstheme="minorHAnsi"/>
          <w:b/>
          <w:sz w:val="20"/>
          <w:szCs w:val="20"/>
          <w:lang w:val="es-EC"/>
        </w:rPr>
        <w:t>12.</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Formulario de Oferta y Lista de Precios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11</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"_Toc478103429" </w:instrText>
      </w:r>
      <w:r>
        <w:fldChar w:fldCharType="separate"/>
      </w:r>
      <w:r>
        <w:rPr>
          <w:rStyle w:val="44"/>
          <w:rFonts w:asciiTheme="minorHAnsi" w:hAnsiTheme="minorHAnsi" w:cstheme="minorHAnsi"/>
          <w:b/>
          <w:sz w:val="20"/>
          <w:szCs w:val="20"/>
          <w:lang w:val="es-EC"/>
        </w:rPr>
        <w:t>13.</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Ofertas Alternativas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_Toc478103429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11</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"_Toc478103430" </w:instrText>
      </w:r>
      <w:r>
        <w:fldChar w:fldCharType="separate"/>
      </w:r>
      <w:r>
        <w:rPr>
          <w:rStyle w:val="44"/>
          <w:rFonts w:asciiTheme="minorHAnsi" w:hAnsiTheme="minorHAnsi" w:cstheme="minorHAnsi"/>
          <w:b/>
          <w:sz w:val="20"/>
          <w:szCs w:val="20"/>
          <w:lang w:val="es-EC"/>
        </w:rPr>
        <w:t>14.</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Precios de la Oferta y Lista de Precios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11</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"_Toc478103431" </w:instrText>
      </w:r>
      <w:r>
        <w:fldChar w:fldCharType="separate"/>
      </w:r>
      <w:r>
        <w:rPr>
          <w:rStyle w:val="44"/>
          <w:rFonts w:asciiTheme="minorHAnsi" w:hAnsiTheme="minorHAnsi" w:cstheme="minorHAnsi"/>
          <w:b/>
          <w:sz w:val="20"/>
          <w:szCs w:val="20"/>
          <w:lang w:val="es-EC"/>
        </w:rPr>
        <w:t>15.</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Moneda de la Oferta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"_Toc478103432" </w:instrText>
      </w:r>
      <w:r>
        <w:fldChar w:fldCharType="separate"/>
      </w:r>
      <w:r>
        <w:rPr>
          <w:rStyle w:val="44"/>
          <w:rFonts w:asciiTheme="minorHAnsi" w:hAnsiTheme="minorHAnsi" w:cstheme="minorHAnsi"/>
          <w:b/>
          <w:sz w:val="20"/>
          <w:szCs w:val="20"/>
          <w:lang w:val="es-EC"/>
        </w:rPr>
        <w:t>16.</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Documentos que Establecen la Elegibilidad del Oferente</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"_Toc478103433" </w:instrText>
      </w:r>
      <w:r>
        <w:fldChar w:fldCharType="separate"/>
      </w:r>
      <w:r>
        <w:rPr>
          <w:rStyle w:val="44"/>
          <w:rFonts w:asciiTheme="minorHAnsi" w:hAnsiTheme="minorHAnsi" w:cstheme="minorHAnsi"/>
          <w:b/>
          <w:sz w:val="20"/>
          <w:szCs w:val="20"/>
          <w:lang w:val="es-EC"/>
        </w:rPr>
        <w:t>17.</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Documentos que Establecen la Elegibilidad de los Bienes y Servicios Conexos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"_Toc478103434" </w:instrText>
      </w:r>
      <w:r>
        <w:fldChar w:fldCharType="separate"/>
      </w:r>
      <w:r>
        <w:rPr>
          <w:rStyle w:val="44"/>
          <w:rFonts w:asciiTheme="minorHAnsi" w:hAnsiTheme="minorHAnsi" w:cstheme="minorHAnsi"/>
          <w:b/>
          <w:sz w:val="20"/>
          <w:szCs w:val="20"/>
          <w:lang w:val="es-EC"/>
        </w:rPr>
        <w:t>18.</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Documentos que Establecen la Conformidad de los Bienes y Servicios Conexos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"_Toc478103435" </w:instrText>
      </w:r>
      <w:r>
        <w:fldChar w:fldCharType="separate"/>
      </w:r>
      <w:r>
        <w:rPr>
          <w:rStyle w:val="44"/>
          <w:rFonts w:asciiTheme="minorHAnsi" w:hAnsiTheme="minorHAnsi" w:cstheme="minorHAnsi"/>
          <w:b/>
          <w:sz w:val="20"/>
          <w:szCs w:val="20"/>
          <w:lang w:val="es-EC"/>
        </w:rPr>
        <w:t>19.</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Documentos que Establecen las Calificaciones del Oferente</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14</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"_Toc478103436" </w:instrText>
      </w:r>
      <w:r>
        <w:fldChar w:fldCharType="separate"/>
      </w:r>
      <w:r>
        <w:rPr>
          <w:rStyle w:val="44"/>
          <w:rFonts w:asciiTheme="minorHAnsi" w:hAnsiTheme="minorHAnsi" w:cstheme="minorHAnsi"/>
          <w:b/>
          <w:sz w:val="20"/>
          <w:szCs w:val="20"/>
          <w:lang w:val="es-EC"/>
        </w:rPr>
        <w:t>20.</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Periodo de Validez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14</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"_Toc478103437" </w:instrText>
      </w:r>
      <w:r>
        <w:fldChar w:fldCharType="separate"/>
      </w:r>
      <w:r>
        <w:rPr>
          <w:rStyle w:val="44"/>
          <w:rFonts w:asciiTheme="minorHAnsi" w:hAnsiTheme="minorHAnsi" w:cstheme="minorHAnsi"/>
          <w:b/>
          <w:sz w:val="20"/>
          <w:szCs w:val="20"/>
          <w:lang w:val="es-EC"/>
        </w:rPr>
        <w:t>21.</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Garantía de Mantenimiento de Oferta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14</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"_Toc478103438" </w:instrText>
      </w:r>
      <w:r>
        <w:fldChar w:fldCharType="separate"/>
      </w:r>
      <w:r>
        <w:rPr>
          <w:rStyle w:val="44"/>
          <w:rFonts w:asciiTheme="minorHAnsi" w:hAnsiTheme="minorHAnsi" w:cstheme="minorHAnsi"/>
          <w:b/>
          <w:sz w:val="20"/>
          <w:szCs w:val="20"/>
          <w:lang w:val="es-EC"/>
        </w:rPr>
        <w:t>22.</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Formato y Firma de la Oferta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"_Toc478103439" </w:instrText>
      </w:r>
      <w:r>
        <w:fldChar w:fldCharType="separate"/>
      </w:r>
      <w:r>
        <w:rPr>
          <w:rStyle w:val="44"/>
          <w:rFonts w:eastAsia="Times New Roman" w:asciiTheme="minorHAnsi" w:hAnsiTheme="minorHAnsi" w:cstheme="minorHAnsi"/>
          <w:b/>
          <w:bCs/>
          <w:sz w:val="20"/>
          <w:szCs w:val="20"/>
          <w:lang w:val="es-EC"/>
        </w:rPr>
        <w:t>D.</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PRESENTACIÓN Y APERTURA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_Toc478103439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"_Toc478103440" </w:instrText>
      </w:r>
      <w:r>
        <w:fldChar w:fldCharType="separate"/>
      </w:r>
      <w:r>
        <w:rPr>
          <w:rStyle w:val="44"/>
          <w:rFonts w:asciiTheme="minorHAnsi" w:hAnsiTheme="minorHAnsi" w:cstheme="minorHAnsi"/>
          <w:b/>
          <w:sz w:val="20"/>
          <w:szCs w:val="20"/>
          <w:lang w:val="es-EC"/>
        </w:rPr>
        <w:t>23.</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Presentación, Sello e Identificación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"_Toc478103441" </w:instrText>
      </w:r>
      <w:r>
        <w:fldChar w:fldCharType="separate"/>
      </w:r>
      <w:r>
        <w:rPr>
          <w:rStyle w:val="44"/>
          <w:rFonts w:eastAsia="Times New Roman" w:asciiTheme="minorHAnsi" w:hAnsiTheme="minorHAnsi" w:cstheme="minorHAnsi"/>
          <w:b/>
          <w:bCs/>
          <w:sz w:val="20"/>
          <w:szCs w:val="20"/>
          <w:lang w:val="es-EC"/>
        </w:rPr>
        <w:t>24.</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Plazo para Presentar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"_Toc478103442" </w:instrText>
      </w:r>
      <w:r>
        <w:fldChar w:fldCharType="separate"/>
      </w:r>
      <w:r>
        <w:rPr>
          <w:rStyle w:val="44"/>
          <w:rFonts w:eastAsia="Times New Roman" w:asciiTheme="minorHAnsi" w:hAnsiTheme="minorHAnsi" w:cstheme="minorHAnsi"/>
          <w:b/>
          <w:bCs/>
          <w:sz w:val="20"/>
          <w:szCs w:val="20"/>
          <w:lang w:val="es-EC"/>
        </w:rPr>
        <w:t>25.</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Ofertas Tardías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"_Toc478103443" </w:instrText>
      </w:r>
      <w:r>
        <w:fldChar w:fldCharType="separate"/>
      </w:r>
      <w:r>
        <w:rPr>
          <w:rStyle w:val="44"/>
          <w:rFonts w:eastAsia="Times New Roman" w:asciiTheme="minorHAnsi" w:hAnsiTheme="minorHAnsi" w:cstheme="minorHAnsi"/>
          <w:b/>
          <w:bCs/>
          <w:sz w:val="20"/>
          <w:szCs w:val="20"/>
          <w:lang w:val="es-EC"/>
        </w:rPr>
        <w:t>26.</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Retiro, Sustitución y Modificación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"_Toc478103444" </w:instrText>
      </w:r>
      <w:r>
        <w:fldChar w:fldCharType="separate"/>
      </w:r>
      <w:r>
        <w:rPr>
          <w:rStyle w:val="44"/>
          <w:rFonts w:eastAsia="Times New Roman" w:asciiTheme="minorHAnsi" w:hAnsiTheme="minorHAnsi" w:cstheme="minorHAnsi"/>
          <w:b/>
          <w:bCs/>
          <w:sz w:val="20"/>
          <w:szCs w:val="20"/>
          <w:lang w:val="es-EC"/>
        </w:rPr>
        <w:t>27.</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Apertura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"_Toc478103445" </w:instrText>
      </w:r>
      <w:r>
        <w:fldChar w:fldCharType="separate"/>
      </w:r>
      <w:r>
        <w:rPr>
          <w:rStyle w:val="44"/>
          <w:rFonts w:eastAsia="Times New Roman" w:asciiTheme="minorHAnsi" w:hAnsiTheme="minorHAnsi" w:cstheme="minorHAnsi"/>
          <w:b/>
          <w:bCs/>
          <w:sz w:val="20"/>
          <w:szCs w:val="20"/>
          <w:lang w:val="es-EC"/>
        </w:rPr>
        <w:t>E.</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Evaluación y Comparación de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"_Toc478103446" </w:instrText>
      </w:r>
      <w:r>
        <w:fldChar w:fldCharType="separate"/>
      </w:r>
      <w:r>
        <w:rPr>
          <w:rStyle w:val="44"/>
          <w:rFonts w:eastAsia="Times New Roman" w:asciiTheme="minorHAnsi" w:hAnsiTheme="minorHAnsi" w:cstheme="minorHAnsi"/>
          <w:b/>
          <w:bCs/>
          <w:sz w:val="20"/>
          <w:szCs w:val="20"/>
          <w:lang w:val="es-EC"/>
        </w:rPr>
        <w:t>28.</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Confidencialidad</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"_Toc478103447" </w:instrText>
      </w:r>
      <w:r>
        <w:fldChar w:fldCharType="separate"/>
      </w:r>
      <w:r>
        <w:rPr>
          <w:rStyle w:val="44"/>
          <w:rFonts w:eastAsia="Times New Roman" w:asciiTheme="minorHAnsi" w:hAnsiTheme="minorHAnsi" w:cstheme="minorHAnsi"/>
          <w:b/>
          <w:bCs/>
          <w:sz w:val="20"/>
          <w:szCs w:val="20"/>
          <w:lang w:val="es-EC"/>
        </w:rPr>
        <w:t>29.</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Aclaración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"_Toc478103448" </w:instrText>
      </w:r>
      <w:r>
        <w:fldChar w:fldCharType="separate"/>
      </w:r>
      <w:r>
        <w:rPr>
          <w:rStyle w:val="44"/>
          <w:rFonts w:eastAsia="Times New Roman" w:asciiTheme="minorHAnsi" w:hAnsiTheme="minorHAnsi" w:cstheme="minorHAnsi"/>
          <w:b/>
          <w:bCs/>
          <w:sz w:val="20"/>
          <w:szCs w:val="20"/>
          <w:lang w:val="es-EC"/>
        </w:rPr>
        <w:t>30.</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Cumplimiento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"_Toc478103449" </w:instrText>
      </w:r>
      <w:r>
        <w:fldChar w:fldCharType="separate"/>
      </w:r>
      <w:r>
        <w:rPr>
          <w:rStyle w:val="44"/>
          <w:rFonts w:eastAsia="Times New Roman" w:asciiTheme="minorHAnsi" w:hAnsiTheme="minorHAnsi" w:cstheme="minorHAnsi"/>
          <w:b/>
          <w:bCs/>
          <w:sz w:val="20"/>
          <w:szCs w:val="20"/>
          <w:lang w:val="es-EC"/>
        </w:rPr>
        <w:t>31.</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Diferencias, Errores y Omisiones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_Toc478103449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"_Toc478103450" </w:instrText>
      </w:r>
      <w:r>
        <w:fldChar w:fldCharType="separate"/>
      </w:r>
      <w:r>
        <w:rPr>
          <w:rStyle w:val="44"/>
          <w:rFonts w:eastAsia="Times New Roman" w:asciiTheme="minorHAnsi" w:hAnsiTheme="minorHAnsi" w:cstheme="minorHAnsi"/>
          <w:b/>
          <w:bCs/>
          <w:sz w:val="20"/>
          <w:szCs w:val="20"/>
          <w:lang w:val="es-EC"/>
        </w:rPr>
        <w:t>32.</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Examen Preliminar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"_Toc478103451" </w:instrText>
      </w:r>
      <w:r>
        <w:fldChar w:fldCharType="separate"/>
      </w:r>
      <w:r>
        <w:rPr>
          <w:rStyle w:val="44"/>
          <w:rFonts w:eastAsia="Times New Roman" w:asciiTheme="minorHAnsi" w:hAnsiTheme="minorHAnsi" w:cstheme="minorHAnsi"/>
          <w:b/>
          <w:bCs/>
          <w:sz w:val="20"/>
          <w:szCs w:val="20"/>
          <w:lang w:val="es-EC"/>
        </w:rPr>
        <w:t>33.</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Examen de los Términos y Condiciones; Evaluación Técnica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"_Toc478103452" </w:instrText>
      </w:r>
      <w:r>
        <w:fldChar w:fldCharType="separate"/>
      </w:r>
      <w:r>
        <w:rPr>
          <w:rStyle w:val="44"/>
          <w:rFonts w:eastAsia="Times New Roman" w:asciiTheme="minorHAnsi" w:hAnsiTheme="minorHAnsi" w:cstheme="minorHAnsi"/>
          <w:b/>
          <w:bCs/>
          <w:sz w:val="20"/>
          <w:szCs w:val="20"/>
          <w:lang w:val="es-EC"/>
        </w:rPr>
        <w:t>34.</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Conversión a una Sola Moneda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"_Toc478103453" </w:instrText>
      </w:r>
      <w:r>
        <w:fldChar w:fldCharType="separate"/>
      </w:r>
      <w:r>
        <w:rPr>
          <w:rStyle w:val="44"/>
          <w:rFonts w:eastAsia="Times New Roman" w:asciiTheme="minorHAnsi" w:hAnsiTheme="minorHAnsi" w:cstheme="minorHAnsi"/>
          <w:b/>
          <w:bCs/>
          <w:sz w:val="20"/>
          <w:szCs w:val="20"/>
          <w:lang w:val="es-EC"/>
        </w:rPr>
        <w:t>35.</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Preferencia Nacional</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"_Toc478103454" </w:instrText>
      </w:r>
      <w:r>
        <w:fldChar w:fldCharType="separate"/>
      </w:r>
      <w:r>
        <w:rPr>
          <w:rStyle w:val="44"/>
          <w:rFonts w:eastAsia="Times New Roman" w:asciiTheme="minorHAnsi" w:hAnsiTheme="minorHAnsi" w:cstheme="minorHAnsi"/>
          <w:b/>
          <w:bCs/>
          <w:sz w:val="20"/>
          <w:szCs w:val="20"/>
          <w:lang w:val="es-EC"/>
        </w:rPr>
        <w:t>36.</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Evaluación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21</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"_Toc478103455" </w:instrText>
      </w:r>
      <w:r>
        <w:fldChar w:fldCharType="separate"/>
      </w:r>
      <w:r>
        <w:rPr>
          <w:rStyle w:val="44"/>
          <w:rFonts w:eastAsia="Times New Roman" w:asciiTheme="minorHAnsi" w:hAnsiTheme="minorHAnsi" w:cstheme="minorHAnsi"/>
          <w:b/>
          <w:bCs/>
          <w:sz w:val="20"/>
          <w:szCs w:val="20"/>
          <w:lang w:val="es-EC"/>
        </w:rPr>
        <w:t>37.</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Comparación de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"_Toc478103456" </w:instrText>
      </w:r>
      <w:r>
        <w:fldChar w:fldCharType="separate"/>
      </w:r>
      <w:r>
        <w:rPr>
          <w:rStyle w:val="44"/>
          <w:rFonts w:eastAsia="Times New Roman" w:asciiTheme="minorHAnsi" w:hAnsiTheme="minorHAnsi" w:cstheme="minorHAnsi"/>
          <w:b/>
          <w:bCs/>
          <w:sz w:val="20"/>
          <w:szCs w:val="20"/>
          <w:lang w:val="es-EC"/>
        </w:rPr>
        <w:t>38.</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Poscalificación del Oferente</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"_Toc478103457" </w:instrText>
      </w:r>
      <w:r>
        <w:fldChar w:fldCharType="separate"/>
      </w:r>
      <w:r>
        <w:rPr>
          <w:rStyle w:val="44"/>
          <w:rFonts w:eastAsia="Times New Roman" w:asciiTheme="minorHAnsi" w:hAnsiTheme="minorHAnsi" w:cstheme="minorHAnsi"/>
          <w:b/>
          <w:bCs/>
          <w:sz w:val="20"/>
          <w:szCs w:val="20"/>
          <w:lang w:val="es-EC"/>
        </w:rPr>
        <w:t>39.</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Derecho del Comprador a Aceptar cualquier Oferta y Rechazar a Cualquier o Todas las Ofertas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"_Toc478103458" </w:instrText>
      </w:r>
      <w:r>
        <w:fldChar w:fldCharType="separate"/>
      </w:r>
      <w:r>
        <w:rPr>
          <w:rStyle w:val="44"/>
          <w:rFonts w:eastAsia="Times New Roman" w:asciiTheme="minorHAnsi" w:hAnsiTheme="minorHAnsi" w:cstheme="minorHAnsi"/>
          <w:b/>
          <w:bCs/>
          <w:sz w:val="20"/>
          <w:szCs w:val="20"/>
          <w:lang w:val="es-EC"/>
        </w:rPr>
        <w:t>F.</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Adjudicación del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"_Toc478103459" </w:instrText>
      </w:r>
      <w:r>
        <w:fldChar w:fldCharType="separate"/>
      </w:r>
      <w:r>
        <w:rPr>
          <w:rStyle w:val="44"/>
          <w:rFonts w:eastAsia="Times New Roman" w:asciiTheme="minorHAnsi" w:hAnsiTheme="minorHAnsi" w:cstheme="minorHAnsi"/>
          <w:b/>
          <w:bCs/>
          <w:sz w:val="20"/>
          <w:szCs w:val="20"/>
          <w:lang w:val="es-EC"/>
        </w:rPr>
        <w:t>40.</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Criterios de Adjudicación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_Toc478103459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"_Toc478103460" </w:instrText>
      </w:r>
      <w:r>
        <w:fldChar w:fldCharType="separate"/>
      </w:r>
      <w:r>
        <w:rPr>
          <w:rStyle w:val="44"/>
          <w:rFonts w:eastAsia="Times New Roman" w:asciiTheme="minorHAnsi" w:hAnsiTheme="minorHAnsi" w:cstheme="minorHAnsi"/>
          <w:b/>
          <w:bCs/>
          <w:sz w:val="20"/>
          <w:szCs w:val="20"/>
          <w:lang w:val="es-EC"/>
        </w:rPr>
        <w:t>41.</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Derecho del Comprador a variar las Cantidades en el Momento de la Adjudicación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"_Toc478103461" </w:instrText>
      </w:r>
      <w:r>
        <w:fldChar w:fldCharType="separate"/>
      </w:r>
      <w:r>
        <w:rPr>
          <w:rStyle w:val="44"/>
          <w:rFonts w:eastAsia="Times New Roman" w:asciiTheme="minorHAnsi" w:hAnsiTheme="minorHAnsi" w:cstheme="minorHAnsi"/>
          <w:b/>
          <w:bCs/>
          <w:sz w:val="20"/>
          <w:szCs w:val="20"/>
          <w:lang w:val="es-EC"/>
        </w:rPr>
        <w:t>42.</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Notificación de Adjudicación del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"_Toc478103462" </w:instrText>
      </w:r>
      <w:r>
        <w:fldChar w:fldCharType="separate"/>
      </w:r>
      <w:r>
        <w:rPr>
          <w:rStyle w:val="44"/>
          <w:rFonts w:eastAsia="Times New Roman" w:asciiTheme="minorHAnsi" w:hAnsiTheme="minorHAnsi" w:cstheme="minorHAnsi"/>
          <w:b/>
          <w:bCs/>
          <w:sz w:val="20"/>
          <w:szCs w:val="20"/>
          <w:lang w:val="es-EC"/>
        </w:rPr>
        <w:t>43.</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Firma del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"_Toc478103463" </w:instrText>
      </w:r>
      <w:r>
        <w:fldChar w:fldCharType="separate"/>
      </w:r>
      <w:r>
        <w:rPr>
          <w:rStyle w:val="44"/>
          <w:rFonts w:eastAsia="Times New Roman" w:asciiTheme="minorHAnsi" w:hAnsiTheme="minorHAnsi" w:cstheme="minorHAnsi"/>
          <w:b/>
          <w:bCs/>
          <w:sz w:val="20"/>
          <w:szCs w:val="20"/>
          <w:lang w:val="es-EC"/>
        </w:rPr>
        <w:t>44.</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Garantía de Cumplimiento del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"_Toc478103464" </w:instrText>
      </w:r>
      <w:r>
        <w:fldChar w:fldCharType="separate"/>
      </w:r>
      <w:r>
        <w:rPr>
          <w:rStyle w:val="44"/>
          <w:rFonts w:asciiTheme="minorHAnsi" w:hAnsiTheme="minorHAnsi" w:cstheme="minorHAnsi"/>
          <w:sz w:val="20"/>
          <w:szCs w:val="20"/>
          <w:lang w:val="es-EC"/>
        </w:rPr>
        <w:t>Sección II. Datos de la Licitación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25</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"_Toc478103465" </w:instrText>
      </w:r>
      <w:r>
        <w:fldChar w:fldCharType="separate"/>
      </w:r>
      <w:r>
        <w:rPr>
          <w:rStyle w:val="44"/>
          <w:rFonts w:asciiTheme="minorHAnsi" w:hAnsiTheme="minorHAnsi" w:cstheme="minorHAnsi"/>
          <w:sz w:val="20"/>
          <w:szCs w:val="20"/>
          <w:lang w:val="es-EC"/>
        </w:rPr>
        <w:t>Sección III. Criterios de Evaluación y Calificación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35</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"_Toc478103466" </w:instrText>
      </w:r>
      <w:r>
        <w:fldChar w:fldCharType="separate"/>
      </w:r>
      <w:r>
        <w:rPr>
          <w:rStyle w:val="44"/>
          <w:rFonts w:eastAsia="Times New Roman" w:asciiTheme="minorHAnsi" w:hAnsiTheme="minorHAnsi" w:cstheme="minorHAnsi"/>
          <w:b/>
          <w:bCs/>
          <w:sz w:val="20"/>
          <w:szCs w:val="20"/>
          <w:lang w:val="es-EC"/>
        </w:rPr>
        <w:t>1.</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 xml:space="preserve">Preferencia Nacional - </w:t>
      </w:r>
      <w:r>
        <w:rPr>
          <w:rStyle w:val="44"/>
          <w:rFonts w:asciiTheme="minorHAnsi" w:hAnsiTheme="minorHAnsi" w:cstheme="minorHAnsi"/>
          <w:b/>
          <w:i/>
          <w:sz w:val="20"/>
          <w:szCs w:val="20"/>
          <w:lang w:val="es-EC"/>
        </w:rPr>
        <w:t>No aplica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35</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"_Toc478103467" </w:instrText>
      </w:r>
      <w:r>
        <w:fldChar w:fldCharType="separate"/>
      </w:r>
      <w:r>
        <w:rPr>
          <w:rStyle w:val="44"/>
          <w:rFonts w:eastAsia="Times New Roman" w:asciiTheme="minorHAnsi" w:hAnsiTheme="minorHAnsi" w:cstheme="minorHAnsi"/>
          <w:b/>
          <w:bCs/>
          <w:sz w:val="20"/>
          <w:szCs w:val="20"/>
          <w:lang w:val="es-EC"/>
        </w:rPr>
        <w:t>2.</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 xml:space="preserve">Criterios de Evaluación - </w:t>
      </w:r>
      <w:r>
        <w:rPr>
          <w:rStyle w:val="44"/>
          <w:rFonts w:asciiTheme="minorHAnsi" w:hAnsiTheme="minorHAnsi" w:cstheme="minorHAnsi"/>
          <w:b/>
          <w:i/>
          <w:sz w:val="20"/>
          <w:szCs w:val="20"/>
          <w:lang w:val="es-EC"/>
        </w:rPr>
        <w:t>No aplica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36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"_Toc478103468" </w:instrText>
      </w:r>
      <w:r>
        <w:fldChar w:fldCharType="separate"/>
      </w:r>
      <w:r>
        <w:rPr>
          <w:rStyle w:val="44"/>
          <w:rFonts w:eastAsia="Times New Roman" w:asciiTheme="minorHAnsi" w:hAnsiTheme="minorHAnsi" w:cstheme="minorHAnsi"/>
          <w:b/>
          <w:bCs/>
          <w:sz w:val="20"/>
          <w:szCs w:val="20"/>
          <w:lang w:val="es-EC"/>
        </w:rPr>
        <w:t>3.</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 xml:space="preserve">Contratos Múltiples – </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37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"_Toc478103469" </w:instrText>
      </w:r>
      <w:r>
        <w:fldChar w:fldCharType="separate"/>
      </w:r>
      <w:r>
        <w:rPr>
          <w:rStyle w:val="44"/>
          <w:rFonts w:eastAsia="Times New Roman" w:asciiTheme="minorHAnsi" w:hAnsiTheme="minorHAnsi" w:cstheme="minorHAnsi"/>
          <w:b/>
          <w:bCs/>
          <w:sz w:val="20"/>
          <w:szCs w:val="20"/>
          <w:lang w:val="es-EC"/>
        </w:rPr>
        <w:t>4.</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 xml:space="preserve">Requisitos para Calificación Posterior – </w:t>
      </w:r>
      <w:r>
        <w:rPr>
          <w:rStyle w:val="44"/>
          <w:rFonts w:asciiTheme="minorHAnsi" w:hAnsiTheme="minorHAnsi" w:cstheme="minorHAnsi"/>
          <w:b/>
          <w:i/>
          <w:sz w:val="20"/>
          <w:szCs w:val="20"/>
          <w:lang w:val="es-EC"/>
        </w:rPr>
        <w:t>Si aplica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_Toc478103469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38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"_Toc478103470" </w:instrText>
      </w:r>
      <w:r>
        <w:fldChar w:fldCharType="separate"/>
      </w:r>
      <w:r>
        <w:rPr>
          <w:rStyle w:val="44"/>
          <w:rFonts w:asciiTheme="minorHAnsi" w:hAnsiTheme="minorHAnsi" w:cstheme="minorHAnsi"/>
          <w:sz w:val="20"/>
          <w:szCs w:val="20"/>
          <w:lang w:val="es-EC"/>
        </w:rPr>
        <w:t>Sección IV. Formularios de la Oferta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42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"_Toc478103471" </w:instrText>
      </w:r>
      <w:r>
        <w:fldChar w:fldCharType="separate"/>
      </w:r>
      <w:r>
        <w:rPr>
          <w:rStyle w:val="44"/>
          <w:rFonts w:eastAsia="Times New Roman" w:asciiTheme="minorHAnsi" w:hAnsiTheme="minorHAnsi" w:cstheme="minorHAnsi"/>
          <w:b/>
          <w:bCs/>
          <w:sz w:val="20"/>
          <w:szCs w:val="20"/>
          <w:lang w:val="es-EC"/>
        </w:rPr>
        <w:t>Formulario de Información del Oferente</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42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"_Toc478103472" </w:instrText>
      </w:r>
      <w:r>
        <w:fldChar w:fldCharType="separate"/>
      </w:r>
      <w:r>
        <w:rPr>
          <w:rStyle w:val="44"/>
          <w:rFonts w:eastAsia="Times New Roman" w:asciiTheme="minorHAnsi" w:hAnsiTheme="minorHAnsi" w:cstheme="minorHAnsi"/>
          <w:b/>
          <w:bCs/>
          <w:sz w:val="20"/>
          <w:szCs w:val="20"/>
          <w:lang w:val="es-EC"/>
        </w:rPr>
        <w:t>Formulario de Presentación de Oferta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44</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"_Toc478103473" </w:instrText>
      </w:r>
      <w:r>
        <w:fldChar w:fldCharType="separate"/>
      </w:r>
      <w:r>
        <w:rPr>
          <w:rStyle w:val="44"/>
          <w:rFonts w:eastAsia="Times New Roman" w:asciiTheme="minorHAnsi" w:hAnsiTheme="minorHAnsi" w:cstheme="minorHAnsi"/>
          <w:b/>
          <w:bCs/>
          <w:sz w:val="20"/>
          <w:szCs w:val="20"/>
          <w:lang w:val="es-EC"/>
        </w:rPr>
        <w:t>FORMULARIOS DE LISTAS DE PRECIOS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46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"_Toc478103474" </w:instrText>
      </w:r>
      <w:r>
        <w:fldChar w:fldCharType="separate"/>
      </w:r>
      <w:r>
        <w:rPr>
          <w:rStyle w:val="44"/>
          <w:rFonts w:eastAsia="Times New Roman" w:asciiTheme="minorHAnsi" w:hAnsiTheme="minorHAnsi" w:cstheme="minorHAnsi"/>
          <w:b/>
          <w:bCs/>
          <w:sz w:val="20"/>
          <w:szCs w:val="20"/>
          <w:lang w:val="es-EC"/>
        </w:rPr>
        <w:t>Lista de Precios: Bienes fabricados fuera del país del Comprador que deben ser importados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46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"_Toc478103475" </w:instrText>
      </w:r>
      <w:r>
        <w:fldChar w:fldCharType="separate"/>
      </w:r>
      <w:r>
        <w:rPr>
          <w:rStyle w:val="44"/>
          <w:rFonts w:eastAsia="Times New Roman" w:asciiTheme="minorHAnsi" w:hAnsiTheme="minorHAnsi" w:cstheme="minorHAnsi"/>
          <w:b/>
          <w:bCs/>
          <w:sz w:val="20"/>
          <w:szCs w:val="20"/>
          <w:lang w:val="es-EC"/>
        </w:rPr>
        <w:t>Lista de Precios: Bienes de origen fuera del País del Comprador previamente importados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47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"_Toc478103476" </w:instrText>
      </w:r>
      <w:r>
        <w:fldChar w:fldCharType="separate"/>
      </w:r>
      <w:r>
        <w:rPr>
          <w:rStyle w:val="44"/>
          <w:rFonts w:eastAsia="Times New Roman" w:asciiTheme="minorHAnsi" w:hAnsiTheme="minorHAnsi" w:cstheme="minorHAnsi"/>
          <w:b/>
          <w:bCs/>
          <w:sz w:val="20"/>
          <w:szCs w:val="20"/>
          <w:lang w:val="es-EC"/>
        </w:rPr>
        <w:t>Lista de Precios: Bienes de origen en el País del Comprador</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48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"_Toc478103477" </w:instrText>
      </w:r>
      <w:r>
        <w:fldChar w:fldCharType="separate"/>
      </w:r>
      <w:r>
        <w:rPr>
          <w:rStyle w:val="44"/>
          <w:rFonts w:eastAsia="Times New Roman" w:asciiTheme="minorHAnsi" w:hAnsiTheme="minorHAnsi" w:cstheme="minorHAnsi"/>
          <w:b/>
          <w:bCs/>
          <w:sz w:val="20"/>
          <w:szCs w:val="20"/>
          <w:lang w:val="es-EC"/>
        </w:rPr>
        <w:t>Precio y Cronograma de cumplimiento – Servicios Conexos (NO APLICA)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49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"_Toc478103478" </w:instrText>
      </w:r>
      <w:r>
        <w:fldChar w:fldCharType="separate"/>
      </w:r>
      <w:r>
        <w:rPr>
          <w:rStyle w:val="44"/>
          <w:rFonts w:eastAsia="Times New Roman" w:asciiTheme="minorHAnsi" w:hAnsiTheme="minorHAnsi" w:cstheme="minorHAnsi"/>
          <w:b/>
          <w:bCs/>
          <w:sz w:val="20"/>
          <w:szCs w:val="20"/>
          <w:lang w:val="es-EC"/>
        </w:rPr>
        <w:t>Garantía de Mantenimiento de Oferta (No aplica)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50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"_Toc478103479" </w:instrText>
      </w:r>
      <w:r>
        <w:fldChar w:fldCharType="separate"/>
      </w:r>
      <w:r>
        <w:rPr>
          <w:rStyle w:val="44"/>
          <w:rFonts w:eastAsia="Times New Roman" w:asciiTheme="minorHAnsi" w:hAnsiTheme="minorHAnsi" w:cstheme="minorHAnsi"/>
          <w:b/>
          <w:bCs/>
          <w:sz w:val="20"/>
          <w:szCs w:val="20"/>
          <w:lang w:val="es-EC"/>
        </w:rPr>
        <w:t>Garantía de Mantenimiento de Oferta (No aplica)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_Toc478103479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52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"_Toc478103480" </w:instrText>
      </w:r>
      <w:r>
        <w:fldChar w:fldCharType="separate"/>
      </w:r>
      <w:r>
        <w:rPr>
          <w:rStyle w:val="44"/>
          <w:rFonts w:eastAsia="Times New Roman" w:asciiTheme="minorHAnsi" w:hAnsiTheme="minorHAnsi" w:cstheme="minorHAnsi"/>
          <w:b/>
          <w:bCs/>
          <w:sz w:val="20"/>
          <w:szCs w:val="20"/>
          <w:lang w:val="es-EC"/>
        </w:rPr>
        <w:t>Declaración de Mantenimiento de la Oferta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53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"_Toc478103481" </w:instrText>
      </w:r>
      <w:r>
        <w:fldChar w:fldCharType="separate"/>
      </w:r>
      <w:r>
        <w:rPr>
          <w:rStyle w:val="44"/>
          <w:rFonts w:asciiTheme="minorHAnsi" w:hAnsiTheme="minorHAnsi" w:cstheme="minorHAnsi"/>
          <w:sz w:val="20"/>
          <w:szCs w:val="20"/>
          <w:lang w:val="es-EC"/>
        </w:rPr>
        <w:t>SECCIÓN V. PAÍSES ELEGIBLES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56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"_Toc478103482" </w:instrText>
      </w:r>
      <w:r>
        <w:fldChar w:fldCharType="separate"/>
      </w:r>
      <w:r>
        <w:rPr>
          <w:rStyle w:val="44"/>
          <w:rFonts w:asciiTheme="minorHAnsi" w:hAnsiTheme="minorHAnsi" w:cstheme="minorHAnsi"/>
          <w:sz w:val="20"/>
          <w:szCs w:val="20"/>
          <w:lang w:val="es-EC"/>
        </w:rPr>
        <w:t>SECCION VI. PRÁCTICAS PROHIBIDAS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58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5"/>
        <w:rPr>
          <w:rFonts w:eastAsia="Times New Roman" w:asciiTheme="minorHAnsi" w:hAnsiTheme="minorHAnsi" w:cstheme="minorHAnsi"/>
          <w:b w:val="0"/>
          <w:sz w:val="20"/>
          <w:szCs w:val="20"/>
          <w:lang w:val="es-EC" w:eastAsia="es-EC"/>
        </w:rPr>
      </w:pPr>
      <w:r>
        <w:fldChar w:fldCharType="begin"/>
      </w:r>
      <w:r>
        <w:instrText xml:space="preserve"> HYPERLINK \l "_Toc478103483" </w:instrText>
      </w:r>
      <w:r>
        <w:fldChar w:fldCharType="separate"/>
      </w:r>
      <w:r>
        <w:rPr>
          <w:rStyle w:val="44"/>
          <w:rFonts w:asciiTheme="minorHAnsi" w:hAnsiTheme="minorHAnsi" w:cstheme="minorHAnsi"/>
          <w:sz w:val="20"/>
          <w:szCs w:val="20"/>
          <w:lang w:val="es-EC"/>
        </w:rPr>
        <w:t>PARTE II. REQUISITOS DE LOS BIENES Y SERVICIOS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62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"_Toc478103484" </w:instrText>
      </w:r>
      <w:r>
        <w:fldChar w:fldCharType="separate"/>
      </w:r>
      <w:r>
        <w:rPr>
          <w:rStyle w:val="44"/>
          <w:rFonts w:asciiTheme="minorHAnsi" w:hAnsiTheme="minorHAnsi" w:cstheme="minorHAnsi"/>
          <w:sz w:val="20"/>
          <w:szCs w:val="20"/>
          <w:lang w:val="es-EC"/>
        </w:rPr>
        <w:t>SECCIÓN VII. LISTA DE REQUISITOS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62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"_Toc478103485" </w:instrText>
      </w:r>
      <w:r>
        <w:fldChar w:fldCharType="separate"/>
      </w:r>
      <w:r>
        <w:rPr>
          <w:rStyle w:val="44"/>
          <w:rFonts w:eastAsia="Times New Roman" w:asciiTheme="minorHAnsi" w:hAnsiTheme="minorHAnsi" w:cstheme="minorHAnsi"/>
          <w:b/>
          <w:bCs/>
          <w:sz w:val="20"/>
          <w:szCs w:val="20"/>
          <w:lang w:val="es-EC"/>
        </w:rPr>
        <w:t>Lista de Bienes y Plan de Entrega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63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"_Toc478103486" </w:instrText>
      </w:r>
      <w:r>
        <w:fldChar w:fldCharType="separate"/>
      </w:r>
      <w:r>
        <w:rPr>
          <w:rStyle w:val="44"/>
          <w:rFonts w:eastAsia="Times New Roman" w:asciiTheme="minorHAnsi" w:hAnsiTheme="minorHAnsi" w:cstheme="minorHAnsi"/>
          <w:b/>
          <w:bCs/>
          <w:sz w:val="20"/>
          <w:szCs w:val="20"/>
          <w:lang w:val="es-EC"/>
        </w:rPr>
        <w:t>Lista de Servicios Conexos y Cronograma de Cumplimiento  (NO APLICA)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72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"_Toc478103487" </w:instrText>
      </w:r>
      <w:r>
        <w:fldChar w:fldCharType="separate"/>
      </w:r>
      <w:r>
        <w:rPr>
          <w:rStyle w:val="44"/>
          <w:rFonts w:eastAsia="Times New Roman" w:asciiTheme="minorHAnsi" w:hAnsiTheme="minorHAnsi" w:cstheme="minorHAnsi"/>
          <w:b/>
          <w:bCs/>
          <w:sz w:val="20"/>
          <w:szCs w:val="20"/>
          <w:lang w:val="es-EC"/>
        </w:rPr>
        <w:t>Planos o Diseños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124</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"_Toc478103488" </w:instrText>
      </w:r>
      <w:r>
        <w:fldChar w:fldCharType="separate"/>
      </w:r>
      <w:r>
        <w:rPr>
          <w:rStyle w:val="44"/>
          <w:rFonts w:eastAsia="Times New Roman" w:asciiTheme="minorHAnsi" w:hAnsiTheme="minorHAnsi" w:cstheme="minorHAnsi"/>
          <w:b/>
          <w:bCs/>
          <w:sz w:val="20"/>
          <w:szCs w:val="20"/>
          <w:lang w:val="es-EC"/>
        </w:rPr>
        <w:t>Inspecciones y Pruebas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125</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5"/>
        <w:rPr>
          <w:rFonts w:eastAsia="Times New Roman" w:asciiTheme="minorHAnsi" w:hAnsiTheme="minorHAnsi" w:cstheme="minorHAnsi"/>
          <w:b w:val="0"/>
          <w:sz w:val="20"/>
          <w:szCs w:val="20"/>
          <w:lang w:val="es-EC" w:eastAsia="es-EC"/>
        </w:rPr>
      </w:pPr>
      <w:r>
        <w:fldChar w:fldCharType="begin"/>
      </w:r>
      <w:r>
        <w:instrText xml:space="preserve"> HYPERLINK \l "_Toc478103489" </w:instrText>
      </w:r>
      <w:r>
        <w:fldChar w:fldCharType="separate"/>
      </w:r>
      <w:r>
        <w:rPr>
          <w:rStyle w:val="44"/>
          <w:rFonts w:asciiTheme="minorHAnsi" w:hAnsiTheme="minorHAnsi" w:cstheme="minorHAnsi"/>
          <w:sz w:val="20"/>
          <w:szCs w:val="20"/>
          <w:lang w:val="es-EC"/>
        </w:rPr>
        <w:t>PARTE III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_Toc478103489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"_Toc478103490" </w:instrText>
      </w:r>
      <w:r>
        <w:fldChar w:fldCharType="separate"/>
      </w:r>
      <w:r>
        <w:rPr>
          <w:rStyle w:val="44"/>
          <w:rFonts w:asciiTheme="minorHAnsi" w:hAnsiTheme="minorHAnsi" w:cstheme="minorHAnsi"/>
          <w:sz w:val="20"/>
          <w:szCs w:val="20"/>
          <w:lang w:val="es-EC"/>
        </w:rPr>
        <w:t>SECCIÓN VIII. CONDICIONES GENERALES DEL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"_Toc478103491" </w:instrText>
      </w:r>
      <w:r>
        <w:fldChar w:fldCharType="separate"/>
      </w:r>
      <w:r>
        <w:rPr>
          <w:rStyle w:val="44"/>
          <w:rFonts w:asciiTheme="minorHAnsi" w:hAnsiTheme="minorHAnsi" w:cstheme="minorHAnsi"/>
          <w:b/>
          <w:sz w:val="20"/>
          <w:szCs w:val="20"/>
          <w:lang w:val="es-EC"/>
        </w:rPr>
        <w:t>1.</w:t>
      </w:r>
      <w:r>
        <w:rPr>
          <w:rFonts w:eastAsia="Times New Roman" w:asciiTheme="minorHAnsi" w:hAnsiTheme="minorHAnsi" w:cstheme="minorHAnsi"/>
          <w:sz w:val="20"/>
          <w:szCs w:val="20"/>
          <w:lang w:val="es-EC" w:eastAsia="es-EC"/>
        </w:rPr>
        <w:tab/>
      </w:r>
      <w:r>
        <w:rPr>
          <w:rStyle w:val="44"/>
          <w:rFonts w:eastAsia="Times New Roman" w:asciiTheme="minorHAnsi" w:hAnsiTheme="minorHAnsi" w:cstheme="minorHAnsi"/>
          <w:b/>
          <w:bCs/>
          <w:sz w:val="20"/>
          <w:szCs w:val="20"/>
          <w:lang w:val="es-EC"/>
        </w:rPr>
        <w:t>Definiciones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"_Toc478103492" </w:instrText>
      </w:r>
      <w:r>
        <w:fldChar w:fldCharType="separate"/>
      </w:r>
      <w:r>
        <w:rPr>
          <w:rStyle w:val="44"/>
          <w:rFonts w:asciiTheme="minorHAnsi" w:hAnsiTheme="minorHAnsi" w:cstheme="minorHAnsi"/>
          <w:b/>
          <w:sz w:val="20"/>
          <w:szCs w:val="20"/>
          <w:lang w:val="es-EC"/>
        </w:rPr>
        <w:t>2.</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Documentos del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"_Toc478103493" </w:instrText>
      </w:r>
      <w:r>
        <w:fldChar w:fldCharType="separate"/>
      </w:r>
      <w:r>
        <w:rPr>
          <w:rStyle w:val="44"/>
          <w:rFonts w:asciiTheme="minorHAnsi" w:hAnsiTheme="minorHAnsi" w:cstheme="minorHAnsi"/>
          <w:b/>
          <w:sz w:val="20"/>
          <w:szCs w:val="20"/>
          <w:lang w:val="es-EC"/>
        </w:rPr>
        <w:t>3.</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Fraude y Corrupción y Prácticas Prohibidas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"_Toc478103494" </w:instrText>
      </w:r>
      <w:r>
        <w:fldChar w:fldCharType="separate"/>
      </w:r>
      <w:r>
        <w:rPr>
          <w:rStyle w:val="44"/>
          <w:rFonts w:asciiTheme="minorHAnsi" w:hAnsiTheme="minorHAnsi" w:cstheme="minorHAnsi"/>
          <w:b/>
          <w:sz w:val="20"/>
          <w:szCs w:val="20"/>
          <w:lang w:val="es-EC"/>
        </w:rPr>
        <w:t>4.</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Interpretación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"_Toc478103495" </w:instrText>
      </w:r>
      <w:r>
        <w:fldChar w:fldCharType="separate"/>
      </w:r>
      <w:r>
        <w:rPr>
          <w:rStyle w:val="44"/>
          <w:rFonts w:asciiTheme="minorHAnsi" w:hAnsiTheme="minorHAnsi" w:cstheme="minorHAnsi"/>
          <w:b/>
          <w:sz w:val="20"/>
          <w:szCs w:val="20"/>
          <w:lang w:val="es-EC"/>
        </w:rPr>
        <w:t>5.</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Idioma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"_Toc478103496" </w:instrText>
      </w:r>
      <w:r>
        <w:fldChar w:fldCharType="separate"/>
      </w:r>
      <w:r>
        <w:rPr>
          <w:rStyle w:val="44"/>
          <w:rFonts w:asciiTheme="minorHAnsi" w:hAnsiTheme="minorHAnsi" w:cstheme="minorHAnsi"/>
          <w:b/>
          <w:sz w:val="20"/>
          <w:szCs w:val="20"/>
          <w:lang w:val="es-EC"/>
        </w:rPr>
        <w:t>6.</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Asociación en Participación o Consorcio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"_Toc478103497" </w:instrText>
      </w:r>
      <w:r>
        <w:fldChar w:fldCharType="separate"/>
      </w:r>
      <w:r>
        <w:rPr>
          <w:rStyle w:val="44"/>
          <w:rFonts w:asciiTheme="minorHAnsi" w:hAnsiTheme="minorHAnsi" w:cstheme="minorHAnsi"/>
          <w:b/>
          <w:sz w:val="20"/>
          <w:szCs w:val="20"/>
          <w:lang w:val="es-EC"/>
        </w:rPr>
        <w:t>7.</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Elegibilidad</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"_Toc478103498" </w:instrText>
      </w:r>
      <w:r>
        <w:fldChar w:fldCharType="separate"/>
      </w:r>
      <w:r>
        <w:rPr>
          <w:rStyle w:val="44"/>
          <w:rFonts w:asciiTheme="minorHAnsi" w:hAnsiTheme="minorHAnsi" w:cstheme="minorHAnsi"/>
          <w:b/>
          <w:sz w:val="20"/>
          <w:szCs w:val="20"/>
          <w:lang w:val="es-EC"/>
        </w:rPr>
        <w:t>8.</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Notificaciones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66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"_Toc478103499" </w:instrText>
      </w:r>
      <w:r>
        <w:fldChar w:fldCharType="separate"/>
      </w:r>
      <w:r>
        <w:rPr>
          <w:rStyle w:val="44"/>
          <w:rFonts w:asciiTheme="minorHAnsi" w:hAnsiTheme="minorHAnsi" w:cstheme="minorHAnsi"/>
          <w:b/>
          <w:sz w:val="20"/>
          <w:szCs w:val="20"/>
          <w:lang w:val="es-EC"/>
        </w:rPr>
        <w:t>9.</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Ley Aplicable</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_Toc478103499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"_Toc478103500" </w:instrText>
      </w:r>
      <w:r>
        <w:fldChar w:fldCharType="separate"/>
      </w:r>
      <w:r>
        <w:rPr>
          <w:rStyle w:val="44"/>
          <w:rFonts w:asciiTheme="minorHAnsi" w:hAnsiTheme="minorHAnsi" w:cstheme="minorHAnsi"/>
          <w:b/>
          <w:sz w:val="20"/>
          <w:szCs w:val="20"/>
          <w:lang w:val="es-EC"/>
        </w:rPr>
        <w:t>10.</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Solución de Controversias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129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"_Toc478103501" </w:instrText>
      </w:r>
      <w:r>
        <w:fldChar w:fldCharType="separate"/>
      </w:r>
      <w:r>
        <w:rPr>
          <w:rStyle w:val="44"/>
          <w:rFonts w:asciiTheme="minorHAnsi" w:hAnsiTheme="minorHAnsi" w:cstheme="minorHAnsi"/>
          <w:b/>
          <w:sz w:val="20"/>
          <w:szCs w:val="20"/>
          <w:lang w:val="es-EC"/>
        </w:rPr>
        <w:t>11.</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Inspecciones y Auditorias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"_Toc478103502" </w:instrText>
      </w:r>
      <w:r>
        <w:fldChar w:fldCharType="separate"/>
      </w:r>
      <w:r>
        <w:rPr>
          <w:rStyle w:val="44"/>
          <w:rFonts w:asciiTheme="minorHAnsi" w:hAnsiTheme="minorHAnsi" w:cstheme="minorHAnsi"/>
          <w:b/>
          <w:sz w:val="20"/>
          <w:szCs w:val="20"/>
          <w:lang w:val="es-EC"/>
        </w:rPr>
        <w:t>12.</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Alcance de los Suministros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"_Toc478103503" </w:instrText>
      </w:r>
      <w:r>
        <w:fldChar w:fldCharType="separate"/>
      </w:r>
      <w:r>
        <w:rPr>
          <w:rStyle w:val="44"/>
          <w:rFonts w:asciiTheme="minorHAnsi" w:hAnsiTheme="minorHAnsi" w:cstheme="minorHAnsi"/>
          <w:b/>
          <w:sz w:val="20"/>
          <w:szCs w:val="20"/>
          <w:lang w:val="es-EC"/>
        </w:rPr>
        <w:t>13.</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Entrega y Documentos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"_Toc478103504" </w:instrText>
      </w:r>
      <w:r>
        <w:fldChar w:fldCharType="separate"/>
      </w:r>
      <w:r>
        <w:rPr>
          <w:rStyle w:val="44"/>
          <w:rFonts w:asciiTheme="minorHAnsi" w:hAnsiTheme="minorHAnsi" w:cstheme="minorHAnsi"/>
          <w:b/>
          <w:sz w:val="20"/>
          <w:szCs w:val="20"/>
          <w:lang w:val="es-EC"/>
        </w:rPr>
        <w:t>14.</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Responsabilidades del Proveedor</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"_Toc478103505" </w:instrText>
      </w:r>
      <w:r>
        <w:fldChar w:fldCharType="separate"/>
      </w:r>
      <w:r>
        <w:rPr>
          <w:rStyle w:val="44"/>
          <w:rFonts w:asciiTheme="minorHAnsi" w:hAnsiTheme="minorHAnsi" w:cstheme="minorHAnsi"/>
          <w:b/>
          <w:sz w:val="20"/>
          <w:szCs w:val="20"/>
          <w:lang w:val="es-EC"/>
        </w:rPr>
        <w:t>15.</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Precio del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"_Toc478103506" </w:instrText>
      </w:r>
      <w:r>
        <w:fldChar w:fldCharType="separate"/>
      </w:r>
      <w:r>
        <w:rPr>
          <w:rStyle w:val="44"/>
          <w:rFonts w:asciiTheme="minorHAnsi" w:hAnsiTheme="minorHAnsi" w:cstheme="minorHAnsi"/>
          <w:b/>
          <w:sz w:val="20"/>
          <w:szCs w:val="20"/>
          <w:lang w:val="es-EC"/>
        </w:rPr>
        <w:t>16.</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Condiciones de Pago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"_Toc478103507" </w:instrText>
      </w:r>
      <w:r>
        <w:fldChar w:fldCharType="separate"/>
      </w:r>
      <w:r>
        <w:rPr>
          <w:rStyle w:val="44"/>
          <w:rFonts w:asciiTheme="minorHAnsi" w:hAnsiTheme="minorHAnsi" w:cstheme="minorHAnsi"/>
          <w:b/>
          <w:sz w:val="20"/>
          <w:szCs w:val="20"/>
          <w:lang w:val="es-EC"/>
        </w:rPr>
        <w:t>17.</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Impuestos y Derechos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131</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"_Toc478103508" </w:instrText>
      </w:r>
      <w:r>
        <w:fldChar w:fldCharType="separate"/>
      </w:r>
      <w:r>
        <w:rPr>
          <w:rStyle w:val="44"/>
          <w:rFonts w:asciiTheme="minorHAnsi" w:hAnsiTheme="minorHAnsi" w:cstheme="minorHAnsi"/>
          <w:b/>
          <w:sz w:val="20"/>
          <w:szCs w:val="20"/>
          <w:lang w:val="es-EC"/>
        </w:rPr>
        <w:t>18.</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Garantía de Cumplimiento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131</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"_Toc478103509" </w:instrText>
      </w:r>
      <w:r>
        <w:fldChar w:fldCharType="separate"/>
      </w:r>
      <w:r>
        <w:rPr>
          <w:rStyle w:val="44"/>
          <w:rFonts w:asciiTheme="minorHAnsi" w:hAnsiTheme="minorHAnsi" w:cstheme="minorHAnsi"/>
          <w:b/>
          <w:sz w:val="20"/>
          <w:szCs w:val="20"/>
          <w:lang w:val="es-EC"/>
        </w:rPr>
        <w:t>19.</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Derechos de Autor</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_Toc478103509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131</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"_Toc478103510" </w:instrText>
      </w:r>
      <w:r>
        <w:fldChar w:fldCharType="separate"/>
      </w:r>
      <w:r>
        <w:rPr>
          <w:rStyle w:val="44"/>
          <w:rFonts w:asciiTheme="minorHAnsi" w:hAnsiTheme="minorHAnsi" w:cstheme="minorHAnsi"/>
          <w:b/>
          <w:sz w:val="20"/>
          <w:szCs w:val="20"/>
          <w:lang w:val="es-EC"/>
        </w:rPr>
        <w:t>20.</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Confidencialidad de la Información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_Toc478103510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"_Toc478103512" </w:instrText>
      </w:r>
      <w:r>
        <w:fldChar w:fldCharType="separate"/>
      </w:r>
      <w:r>
        <w:rPr>
          <w:rStyle w:val="44"/>
          <w:rFonts w:asciiTheme="minorHAnsi" w:hAnsiTheme="minorHAnsi" w:cstheme="minorHAnsi"/>
          <w:b/>
          <w:sz w:val="20"/>
          <w:szCs w:val="20"/>
          <w:lang w:val="es-EC"/>
        </w:rPr>
        <w:t>22.</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Especificaciones y Normas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_Toc478103512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132</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"_Toc478103513" </w:instrText>
      </w:r>
      <w:r>
        <w:fldChar w:fldCharType="separate"/>
      </w:r>
      <w:r>
        <w:rPr>
          <w:rStyle w:val="44"/>
          <w:rFonts w:asciiTheme="minorHAnsi" w:hAnsiTheme="minorHAnsi" w:cstheme="minorHAnsi"/>
          <w:b/>
          <w:sz w:val="20"/>
          <w:szCs w:val="20"/>
          <w:lang w:val="es-EC"/>
        </w:rPr>
        <w:t>23.</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Embalaje y Documentos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_Toc478103513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"_Toc478103514" </w:instrText>
      </w:r>
      <w:r>
        <w:fldChar w:fldCharType="separate"/>
      </w:r>
      <w:r>
        <w:rPr>
          <w:rStyle w:val="44"/>
          <w:rFonts w:asciiTheme="minorHAnsi" w:hAnsiTheme="minorHAnsi" w:cstheme="minorHAnsi"/>
          <w:b/>
          <w:sz w:val="20"/>
          <w:szCs w:val="20"/>
          <w:lang w:val="es-EC"/>
        </w:rPr>
        <w:t>24.</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Seguros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_Toc478103514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"_Toc478103515" </w:instrText>
      </w:r>
      <w:r>
        <w:fldChar w:fldCharType="separate"/>
      </w:r>
      <w:r>
        <w:rPr>
          <w:rStyle w:val="44"/>
          <w:rFonts w:asciiTheme="minorHAnsi" w:hAnsiTheme="minorHAnsi" w:cstheme="minorHAnsi"/>
          <w:b/>
          <w:sz w:val="20"/>
          <w:szCs w:val="20"/>
          <w:lang w:val="es-EC"/>
        </w:rPr>
        <w:t>25.</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Transporte</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_Toc478103515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"_Toc478103516" </w:instrText>
      </w:r>
      <w:r>
        <w:fldChar w:fldCharType="separate"/>
      </w:r>
      <w:r>
        <w:rPr>
          <w:rStyle w:val="44"/>
          <w:rFonts w:asciiTheme="minorHAnsi" w:hAnsiTheme="minorHAnsi" w:cstheme="minorHAnsi"/>
          <w:b/>
          <w:sz w:val="20"/>
          <w:szCs w:val="20"/>
          <w:lang w:val="es-EC"/>
        </w:rPr>
        <w:t>26.</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Inspecciones y Pruebas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_Toc478103516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"_Toc478103517" </w:instrText>
      </w:r>
      <w:r>
        <w:fldChar w:fldCharType="separate"/>
      </w:r>
      <w:r>
        <w:rPr>
          <w:rStyle w:val="44"/>
          <w:rFonts w:asciiTheme="minorHAnsi" w:hAnsiTheme="minorHAnsi" w:cstheme="minorHAnsi"/>
          <w:b/>
          <w:sz w:val="20"/>
          <w:szCs w:val="20"/>
          <w:lang w:val="es-EC"/>
        </w:rPr>
        <w:t>27.</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Liquidación por Daños y Perjuicios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_Toc478103517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134</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"_Toc478103518" </w:instrText>
      </w:r>
      <w:r>
        <w:fldChar w:fldCharType="separate"/>
      </w:r>
      <w:r>
        <w:rPr>
          <w:rStyle w:val="44"/>
          <w:rFonts w:asciiTheme="minorHAnsi" w:hAnsiTheme="minorHAnsi" w:cstheme="minorHAnsi"/>
          <w:b/>
          <w:sz w:val="20"/>
          <w:szCs w:val="20"/>
          <w:lang w:val="es-EC"/>
        </w:rPr>
        <w:t>28.</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Garantía de los Bienes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_Toc478103518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135</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"_Toc478103519" </w:instrText>
      </w:r>
      <w:r>
        <w:fldChar w:fldCharType="separate"/>
      </w:r>
      <w:r>
        <w:rPr>
          <w:rStyle w:val="44"/>
          <w:rFonts w:asciiTheme="minorHAnsi" w:hAnsiTheme="minorHAnsi" w:cstheme="minorHAnsi"/>
          <w:b/>
          <w:sz w:val="20"/>
          <w:szCs w:val="20"/>
          <w:lang w:val="es-EC"/>
        </w:rPr>
        <w:t>29.</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Indemnización por Derechos de Patente</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_Toc478103519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135</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"_Toc478103520" </w:instrText>
      </w:r>
      <w:r>
        <w:fldChar w:fldCharType="separate"/>
      </w:r>
      <w:r>
        <w:rPr>
          <w:rStyle w:val="44"/>
          <w:rFonts w:asciiTheme="minorHAnsi" w:hAnsiTheme="minorHAnsi" w:cstheme="minorHAnsi"/>
          <w:b/>
          <w:sz w:val="20"/>
          <w:szCs w:val="20"/>
          <w:lang w:val="es-EC"/>
        </w:rPr>
        <w:t>30.</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Limitación de Responsabilidad</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"_Toc478103521" </w:instrText>
      </w:r>
      <w:r>
        <w:fldChar w:fldCharType="separate"/>
      </w:r>
      <w:r>
        <w:rPr>
          <w:rStyle w:val="44"/>
          <w:rFonts w:asciiTheme="minorHAnsi" w:hAnsiTheme="minorHAnsi" w:cstheme="minorHAnsi"/>
          <w:b/>
          <w:sz w:val="20"/>
          <w:szCs w:val="20"/>
          <w:lang w:val="es-EC"/>
        </w:rPr>
        <w:t>31.</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Cambio en las Leyes y Regulaciones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"_Toc478103522" </w:instrText>
      </w:r>
      <w:r>
        <w:fldChar w:fldCharType="separate"/>
      </w:r>
      <w:r>
        <w:rPr>
          <w:rStyle w:val="44"/>
          <w:rFonts w:asciiTheme="minorHAnsi" w:hAnsiTheme="minorHAnsi" w:cstheme="minorHAnsi"/>
          <w:b/>
          <w:sz w:val="20"/>
          <w:szCs w:val="20"/>
          <w:lang w:val="es-EC"/>
        </w:rPr>
        <w:t>32.</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Fuerza Mayor</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"_Toc478103523" </w:instrText>
      </w:r>
      <w:r>
        <w:fldChar w:fldCharType="separate"/>
      </w:r>
      <w:r>
        <w:rPr>
          <w:rStyle w:val="44"/>
          <w:rFonts w:asciiTheme="minorHAnsi" w:hAnsiTheme="minorHAnsi" w:cstheme="minorHAnsi"/>
          <w:b/>
          <w:sz w:val="20"/>
          <w:szCs w:val="20"/>
          <w:lang w:val="es-EC"/>
        </w:rPr>
        <w:t>33.</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Ordenes de Cambio y Enmiendas al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"_Toc478103524" </w:instrText>
      </w:r>
      <w:r>
        <w:fldChar w:fldCharType="separate"/>
      </w:r>
      <w:r>
        <w:rPr>
          <w:rStyle w:val="44"/>
          <w:rFonts w:asciiTheme="minorHAnsi" w:hAnsiTheme="minorHAnsi" w:cstheme="minorHAnsi"/>
          <w:b/>
          <w:sz w:val="20"/>
          <w:szCs w:val="20"/>
          <w:lang w:val="es-EC"/>
        </w:rPr>
        <w:t>34.</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Prórroga de los Plazos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"_Toc478103525" </w:instrText>
      </w:r>
      <w:r>
        <w:fldChar w:fldCharType="separate"/>
      </w:r>
      <w:r>
        <w:rPr>
          <w:rStyle w:val="44"/>
          <w:rFonts w:asciiTheme="minorHAnsi" w:hAnsiTheme="minorHAnsi" w:cstheme="minorHAnsi"/>
          <w:b/>
          <w:sz w:val="20"/>
          <w:szCs w:val="20"/>
          <w:lang w:val="es-EC"/>
        </w:rPr>
        <w:t>35.</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Terminación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138</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"_Toc478103526" </w:instrText>
      </w:r>
      <w:r>
        <w:fldChar w:fldCharType="separate"/>
      </w:r>
      <w:r>
        <w:rPr>
          <w:rStyle w:val="44"/>
          <w:rFonts w:asciiTheme="minorHAnsi" w:hAnsiTheme="minorHAnsi" w:cstheme="minorHAnsi"/>
          <w:b/>
          <w:sz w:val="20"/>
          <w:szCs w:val="20"/>
          <w:lang w:val="es-EC"/>
        </w:rPr>
        <w:t>36.</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Cesión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left" w:pos="880"/>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"_Toc478103527" </w:instrText>
      </w:r>
      <w:r>
        <w:fldChar w:fldCharType="separate"/>
      </w:r>
      <w:r>
        <w:rPr>
          <w:rStyle w:val="44"/>
          <w:rFonts w:asciiTheme="minorHAnsi" w:hAnsiTheme="minorHAnsi" w:cstheme="minorHAnsi"/>
          <w:b/>
          <w:sz w:val="20"/>
          <w:szCs w:val="20"/>
          <w:lang w:val="es-EC"/>
        </w:rPr>
        <w:t>37.</w:t>
      </w:r>
      <w:r>
        <w:rPr>
          <w:rFonts w:eastAsia="Times New Roman" w:asciiTheme="minorHAnsi" w:hAnsiTheme="minorHAnsi" w:cstheme="minorHAnsi"/>
          <w:sz w:val="20"/>
          <w:szCs w:val="20"/>
          <w:lang w:val="es-EC" w:eastAsia="es-EC"/>
        </w:rPr>
        <w:tab/>
      </w:r>
      <w:r>
        <w:rPr>
          <w:rStyle w:val="44"/>
          <w:rFonts w:asciiTheme="minorHAnsi" w:hAnsiTheme="minorHAnsi" w:cstheme="minorHAnsi"/>
          <w:b/>
          <w:sz w:val="20"/>
          <w:szCs w:val="20"/>
          <w:lang w:val="es-EC"/>
        </w:rPr>
        <w:t>Restricción a la Exportación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_Toc478103527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139</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"_Toc478103528" </w:instrText>
      </w:r>
      <w:r>
        <w:fldChar w:fldCharType="separate"/>
      </w:r>
      <w:r>
        <w:rPr>
          <w:rStyle w:val="44"/>
          <w:rFonts w:asciiTheme="minorHAnsi" w:hAnsiTheme="minorHAnsi" w:cstheme="minorHAnsi"/>
          <w:sz w:val="20"/>
          <w:szCs w:val="20"/>
          <w:lang w:val="es-EC"/>
        </w:rPr>
        <w:t>Sección IX. Condiciones Especiales del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_Toc478103528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140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"_Toc478103529" </w:instrText>
      </w:r>
      <w:r>
        <w:fldChar w:fldCharType="separate"/>
      </w:r>
      <w:r>
        <w:rPr>
          <w:rStyle w:val="44"/>
          <w:rFonts w:asciiTheme="minorHAnsi" w:hAnsiTheme="minorHAnsi" w:cstheme="minorHAnsi"/>
          <w:b/>
          <w:sz w:val="20"/>
          <w:szCs w:val="20"/>
          <w:lang w:val="es-EC"/>
        </w:rPr>
        <w:t>Anexo 1: Fórmula de Ajuste de Precios (No aplica)</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_Toc478103529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154</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"_Toc478103530" </w:instrText>
      </w:r>
      <w:r>
        <w:fldChar w:fldCharType="separate"/>
      </w:r>
      <w:r>
        <w:rPr>
          <w:rStyle w:val="44"/>
          <w:rFonts w:asciiTheme="minorHAnsi" w:hAnsiTheme="minorHAnsi" w:cstheme="minorHAnsi"/>
          <w:b/>
          <w:sz w:val="20"/>
          <w:szCs w:val="20"/>
          <w:lang w:val="es-EC"/>
        </w:rPr>
        <w:t>Apéndice 2: Fraude y Corrupción y Prácticas Prohibidas</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_Toc478103530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156</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"_Toc478103531" </w:instrText>
      </w:r>
      <w:r>
        <w:fldChar w:fldCharType="separate"/>
      </w:r>
      <w:r>
        <w:rPr>
          <w:rStyle w:val="44"/>
          <w:rFonts w:asciiTheme="minorHAnsi" w:hAnsiTheme="minorHAnsi" w:cstheme="minorHAnsi"/>
          <w:sz w:val="20"/>
          <w:szCs w:val="20"/>
          <w:lang w:val="es-EC"/>
        </w:rPr>
        <w:t>Sección X. Formularios de Contrato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_Toc478103531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160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"_Toc478103532" </w:instrText>
      </w:r>
      <w:r>
        <w:fldChar w:fldCharType="separate"/>
      </w:r>
      <w:r>
        <w:rPr>
          <w:rStyle w:val="44"/>
          <w:rFonts w:asciiTheme="minorHAnsi" w:hAnsiTheme="minorHAnsi" w:cstheme="minorHAnsi"/>
          <w:b/>
          <w:sz w:val="20"/>
          <w:szCs w:val="20"/>
          <w:lang w:val="es-EC"/>
        </w:rPr>
        <w:t>Carta de Aceptación</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_Toc478103532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160</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"_Toc478103533" </w:instrText>
      </w:r>
      <w:r>
        <w:fldChar w:fldCharType="separate"/>
      </w:r>
      <w:r>
        <w:rPr>
          <w:rStyle w:val="44"/>
          <w:rFonts w:asciiTheme="minorHAnsi" w:hAnsiTheme="minorHAnsi" w:cstheme="minorHAnsi"/>
          <w:b/>
          <w:sz w:val="20"/>
          <w:szCs w:val="20"/>
          <w:lang w:val="es-EC"/>
        </w:rPr>
        <w:t>Convenio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_Toc478103533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161</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"_Toc478103534" </w:instrText>
      </w:r>
      <w:r>
        <w:fldChar w:fldCharType="separate"/>
      </w:r>
      <w:r>
        <w:rPr>
          <w:rStyle w:val="44"/>
          <w:rFonts w:asciiTheme="minorHAnsi" w:hAnsiTheme="minorHAnsi" w:cstheme="minorHAnsi"/>
          <w:b/>
          <w:sz w:val="20"/>
          <w:szCs w:val="20"/>
          <w:lang w:val="es-EC"/>
        </w:rPr>
        <w:t>Garantía de Cumplimiento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_Toc478103534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163</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"_Toc478103535" </w:instrText>
      </w:r>
      <w:r>
        <w:fldChar w:fldCharType="separate"/>
      </w:r>
      <w:r>
        <w:rPr>
          <w:rStyle w:val="44"/>
          <w:rFonts w:asciiTheme="minorHAnsi" w:hAnsiTheme="minorHAnsi" w:cstheme="minorHAnsi"/>
          <w:b/>
          <w:sz w:val="20"/>
          <w:szCs w:val="20"/>
          <w:lang w:val="es-EC"/>
        </w:rPr>
        <w:t>Garantía de Anticipo</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_Toc478103535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165</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pStyle w:val="18"/>
        <w:tabs>
          <w:tab w:val="right" w:leader="dot" w:pos="9350"/>
        </w:tabs>
        <w:rPr>
          <w:rFonts w:eastAsia="Times New Roman" w:asciiTheme="minorHAnsi" w:hAnsiTheme="minorHAnsi" w:cstheme="minorHAnsi"/>
          <w:sz w:val="20"/>
          <w:szCs w:val="20"/>
          <w:lang w:val="es-EC" w:eastAsia="es-EC"/>
        </w:rPr>
      </w:pPr>
      <w:r>
        <w:fldChar w:fldCharType="begin"/>
      </w:r>
      <w:r>
        <w:instrText xml:space="preserve"> HYPERLINK \l "_Toc478103536" </w:instrText>
      </w:r>
      <w:r>
        <w:fldChar w:fldCharType="separate"/>
      </w:r>
      <w:r>
        <w:rPr>
          <w:rStyle w:val="44"/>
          <w:rFonts w:eastAsia="Times New Roman" w:asciiTheme="minorHAnsi" w:hAnsiTheme="minorHAnsi" w:cstheme="minorHAnsi"/>
          <w:iCs/>
          <w:sz w:val="20"/>
          <w:szCs w:val="20"/>
          <w:lang w:val="es-EC"/>
        </w:rPr>
        <w:t>LLAMADO A LICITACIÓN PÚBLICA INTERNACIONAL</w:t>
      </w:r>
      <w:r>
        <w:rPr>
          <w:rFonts w:asciiTheme="minorHAnsi" w:hAnsiTheme="minorHAnsi" w:cstheme="minorHAnsi"/>
          <w:sz w:val="20"/>
          <w:szCs w:val="20"/>
          <w:lang w:val="es-EC"/>
        </w:rPr>
        <w:tab/>
      </w:r>
      <w:r>
        <w:rPr>
          <w:rFonts w:asciiTheme="minorHAnsi" w:hAnsiTheme="minorHAnsi" w:cstheme="minorHAnsi"/>
          <w:sz w:val="20"/>
          <w:szCs w:val="20"/>
          <w:lang w:val="es-EC"/>
        </w:rPr>
        <w:fldChar w:fldCharType="begin"/>
      </w:r>
      <w:r>
        <w:rPr>
          <w:rFonts w:asciiTheme="minorHAnsi" w:hAnsiTheme="minorHAnsi" w:cstheme="minorHAnsi"/>
          <w:sz w:val="20"/>
          <w:szCs w:val="20"/>
          <w:lang w:val="es-EC"/>
        </w:rPr>
        <w:instrText xml:space="preserve"> PAGEREF _Toc478103536 \h </w:instrText>
      </w:r>
      <w:r>
        <w:rPr>
          <w:rFonts w:asciiTheme="minorHAnsi" w:hAnsiTheme="minorHAnsi" w:cstheme="minorHAnsi"/>
          <w:sz w:val="20"/>
          <w:szCs w:val="20"/>
          <w:lang w:val="es-EC"/>
        </w:rPr>
        <w:fldChar w:fldCharType="separate"/>
      </w:r>
      <w:r>
        <w:rPr>
          <w:rFonts w:asciiTheme="minorHAnsi" w:hAnsiTheme="minorHAnsi" w:cstheme="minorHAnsi"/>
          <w:sz w:val="20"/>
          <w:szCs w:val="20"/>
          <w:lang w:val="es-EC"/>
        </w:rPr>
        <w:t>167</w:t>
      </w:r>
      <w:r>
        <w:rPr>
          <w:rFonts w:asciiTheme="minorHAnsi" w:hAnsiTheme="minorHAnsi" w:cstheme="minorHAnsi"/>
          <w:sz w:val="20"/>
          <w:szCs w:val="20"/>
          <w:lang w:val="es-EC"/>
        </w:rPr>
        <w:fldChar w:fldCharType="end"/>
      </w:r>
      <w:r>
        <w:rPr>
          <w:rFonts w:asciiTheme="minorHAnsi" w:hAnsiTheme="minorHAnsi" w:cstheme="minorHAnsi"/>
          <w:sz w:val="20"/>
          <w:szCs w:val="20"/>
          <w:lang w:val="es-EC"/>
        </w:rPr>
        <w:fldChar w:fldCharType="end"/>
      </w:r>
    </w:p>
    <w:p>
      <w:pPr>
        <w:rPr>
          <w:rFonts w:asciiTheme="minorHAnsi" w:hAnsiTheme="minorHAnsi" w:cstheme="minorHAnsi"/>
          <w:bCs/>
          <w:sz w:val="20"/>
          <w:szCs w:val="20"/>
          <w:lang w:val="es-EC"/>
        </w:rPr>
      </w:pPr>
      <w:r>
        <w:rPr>
          <w:rFonts w:asciiTheme="minorHAnsi" w:hAnsiTheme="minorHAnsi" w:cstheme="minorHAnsi"/>
          <w:bCs/>
          <w:sz w:val="20"/>
          <w:szCs w:val="20"/>
          <w:lang w:val="es-EC"/>
        </w:rPr>
        <w:fldChar w:fldCharType="end"/>
      </w:r>
      <w:bookmarkStart w:id="0" w:name="_Toc478103412"/>
    </w:p>
    <w:p>
      <w:pPr>
        <w:rPr>
          <w:rFonts w:asciiTheme="minorHAnsi" w:hAnsiTheme="minorHAnsi" w:cstheme="minorHAnsi"/>
          <w:bCs/>
          <w:sz w:val="20"/>
          <w:szCs w:val="20"/>
          <w:lang w:val="es-EC"/>
        </w:rPr>
      </w:pPr>
    </w:p>
    <w:p>
      <w:pPr>
        <w:rPr>
          <w:rFonts w:asciiTheme="minorHAnsi" w:hAnsiTheme="minorHAnsi" w:cstheme="minorHAnsi"/>
          <w:bCs/>
          <w:sz w:val="20"/>
          <w:szCs w:val="20"/>
          <w:lang w:val="es-EC"/>
        </w:rPr>
      </w:pPr>
    </w:p>
    <w:p>
      <w:pPr>
        <w:rPr>
          <w:rFonts w:asciiTheme="minorHAnsi" w:hAnsiTheme="minorHAnsi" w:cstheme="minorHAnsi"/>
          <w:bCs/>
          <w:sz w:val="20"/>
          <w:szCs w:val="20"/>
          <w:lang w:val="es-EC"/>
        </w:rPr>
      </w:pPr>
    </w:p>
    <w:p>
      <w:pPr>
        <w:rPr>
          <w:rFonts w:asciiTheme="minorHAnsi" w:hAnsiTheme="minorHAnsi" w:cstheme="minorHAnsi"/>
          <w:bCs/>
          <w:sz w:val="20"/>
          <w:szCs w:val="20"/>
          <w:lang w:val="es-EC"/>
        </w:rPr>
      </w:pPr>
    </w:p>
    <w:p>
      <w:pPr>
        <w:rPr>
          <w:rFonts w:asciiTheme="minorHAnsi" w:hAnsiTheme="minorHAnsi" w:cstheme="minorHAnsi"/>
          <w:bCs/>
          <w:sz w:val="20"/>
          <w:szCs w:val="20"/>
          <w:lang w:val="es-EC"/>
        </w:rPr>
      </w:pPr>
    </w:p>
    <w:bookmarkEnd w:id="0"/>
    <w:p>
      <w:pPr>
        <w:pStyle w:val="3"/>
        <w:jc w:val="center"/>
        <w:rPr>
          <w:rFonts w:asciiTheme="minorHAnsi" w:hAnsiTheme="minorHAnsi" w:cstheme="minorHAnsi"/>
          <w:color w:val="auto"/>
          <w:sz w:val="20"/>
          <w:szCs w:val="20"/>
          <w:lang w:val="es-EC"/>
        </w:rPr>
      </w:pPr>
      <w:bookmarkStart w:id="1" w:name="_Toc478103413"/>
      <w:r>
        <w:rPr>
          <w:rFonts w:asciiTheme="minorHAnsi" w:hAnsiTheme="minorHAnsi" w:cstheme="minorHAnsi"/>
          <w:color w:val="auto"/>
          <w:sz w:val="20"/>
          <w:szCs w:val="20"/>
          <w:lang w:val="es-EC"/>
        </w:rPr>
        <w:t>SECCIÓN I. INSTRUCCIONES A LOS OFERENTES</w:t>
      </w:r>
      <w:bookmarkEnd w:id="1"/>
    </w:p>
    <w:p>
      <w:pPr>
        <w:keepNext/>
        <w:keepLines/>
        <w:numPr>
          <w:ilvl w:val="0"/>
          <w:numId w:val="3"/>
        </w:numPr>
        <w:spacing w:before="240" w:after="120" w:line="240" w:lineRule="auto"/>
        <w:ind w:left="360"/>
        <w:outlineLvl w:val="1"/>
        <w:rPr>
          <w:rFonts w:eastAsia="Times New Roman" w:asciiTheme="minorHAnsi" w:hAnsiTheme="minorHAnsi" w:cstheme="minorHAnsi"/>
          <w:b/>
          <w:bCs/>
          <w:sz w:val="20"/>
          <w:szCs w:val="20"/>
          <w:lang w:val="es-EC"/>
        </w:rPr>
      </w:pPr>
      <w:bookmarkStart w:id="2" w:name="_Toc478103414"/>
      <w:r>
        <w:rPr>
          <w:rFonts w:eastAsia="Times New Roman" w:asciiTheme="minorHAnsi" w:hAnsiTheme="minorHAnsi" w:cstheme="minorHAnsi"/>
          <w:b/>
          <w:bCs/>
          <w:sz w:val="20"/>
          <w:szCs w:val="20"/>
          <w:lang w:val="es-EC"/>
        </w:rPr>
        <w:t>GENERAL</w:t>
      </w:r>
      <w:bookmarkEnd w:id="2"/>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3" w:name="_Toc478103415"/>
      <w:r>
        <w:rPr>
          <w:rFonts w:eastAsia="Times New Roman" w:asciiTheme="minorHAnsi" w:hAnsiTheme="minorHAnsi" w:cstheme="minorHAnsi"/>
          <w:b/>
          <w:bCs/>
          <w:sz w:val="20"/>
          <w:szCs w:val="20"/>
          <w:lang w:val="es-EC"/>
        </w:rPr>
        <w:t>Alcance de la Licitación</w:t>
      </w:r>
      <w:bookmarkEnd w:id="3"/>
    </w:p>
    <w:p>
      <w:pPr>
        <w:numPr>
          <w:ilvl w:val="0"/>
          <w:numId w:val="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indicado en los</w:t>
      </w:r>
      <w:r>
        <w:rPr>
          <w:rFonts w:asciiTheme="minorHAnsi" w:hAnsiTheme="minorHAnsi" w:cstheme="minorHAnsi"/>
          <w:b/>
          <w:sz w:val="20"/>
          <w:szCs w:val="20"/>
          <w:lang w:val="es-EC"/>
        </w:rPr>
        <w:t xml:space="preserve"> Datos de la Licitación (DDL) </w:t>
      </w:r>
      <w:r>
        <w:rPr>
          <w:rFonts w:asciiTheme="minorHAnsi" w:hAnsiTheme="minorHAnsi" w:cstheme="minorHAnsi"/>
          <w:sz w:val="20"/>
          <w:szCs w:val="20"/>
          <w:lang w:val="es-EC"/>
        </w:rPr>
        <w:t xml:space="preserve">emite estos Documentos de Licitación para la adquisición de los Bienes y Servicios Conexos especificados en Sección VI, Lista de Bienes y Servicios y Plan de Entrega. El nombre y número de identificación de esta Licitación Pública Internacional (LPI) están especificados en los </w:t>
      </w:r>
      <w:r>
        <w:rPr>
          <w:rFonts w:asciiTheme="minorHAnsi" w:hAnsiTheme="minorHAnsi" w:cstheme="minorHAnsi"/>
          <w:b/>
          <w:sz w:val="20"/>
          <w:szCs w:val="20"/>
          <w:lang w:val="es-EC"/>
        </w:rPr>
        <w:t xml:space="preserve">DDL. </w:t>
      </w:r>
      <w:r>
        <w:rPr>
          <w:rFonts w:asciiTheme="minorHAnsi" w:hAnsiTheme="minorHAnsi" w:cstheme="minorHAnsi"/>
          <w:sz w:val="20"/>
          <w:szCs w:val="20"/>
          <w:lang w:val="es-EC"/>
        </w:rPr>
        <w:t>El nombre, identificación y número de lotes están indicados en los</w:t>
      </w:r>
      <w:r>
        <w:rPr>
          <w:rFonts w:asciiTheme="minorHAnsi" w:hAnsiTheme="minorHAnsi" w:cstheme="minorHAnsi"/>
          <w:b/>
          <w:sz w:val="20"/>
          <w:szCs w:val="20"/>
          <w:lang w:val="es-EC"/>
        </w:rPr>
        <w:t xml:space="preserve"> DDL</w:t>
      </w:r>
      <w:r>
        <w:rPr>
          <w:rFonts w:asciiTheme="minorHAnsi" w:hAnsiTheme="minorHAnsi" w:cstheme="minorHAnsi"/>
          <w:bCs/>
          <w:sz w:val="20"/>
          <w:szCs w:val="20"/>
          <w:lang w:val="es-EC"/>
        </w:rPr>
        <w:t>.</w:t>
      </w:r>
    </w:p>
    <w:p>
      <w:pPr>
        <w:numPr>
          <w:ilvl w:val="0"/>
          <w:numId w:val="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Para todos los efectos de estos Documentos de Licitación:</w:t>
      </w:r>
    </w:p>
    <w:p>
      <w:pPr>
        <w:numPr>
          <w:ilvl w:val="0"/>
          <w:numId w:val="6"/>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el término “por escrito” significa comunicación en forma escrita (por ejemplo por correo electrónico, facsímile, telex) con prueba de recibido;</w:t>
      </w:r>
    </w:p>
    <w:p>
      <w:pPr>
        <w:numPr>
          <w:ilvl w:val="0"/>
          <w:numId w:val="6"/>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si el contexto así lo requiere, “singular” significa “plural” y viceversa; y</w:t>
      </w:r>
    </w:p>
    <w:p>
      <w:pPr>
        <w:numPr>
          <w:ilvl w:val="0"/>
          <w:numId w:val="6"/>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“día” significa día calendario.</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4" w:name="_Toc478103416"/>
      <w:r>
        <w:rPr>
          <w:rFonts w:asciiTheme="minorHAnsi" w:hAnsiTheme="minorHAnsi" w:cstheme="minorHAnsi"/>
          <w:b/>
          <w:sz w:val="20"/>
          <w:szCs w:val="20"/>
          <w:lang w:val="es-EC"/>
        </w:rPr>
        <w:t>Fuente de Fondos</w:t>
      </w:r>
      <w:bookmarkEnd w:id="4"/>
    </w:p>
    <w:p>
      <w:pPr>
        <w:numPr>
          <w:ilvl w:val="0"/>
          <w:numId w:val="7"/>
        </w:numPr>
        <w:spacing w:before="60" w:after="60" w:line="240" w:lineRule="auto"/>
        <w:ind w:left="1267" w:hanging="720"/>
        <w:jc w:val="both"/>
        <w:rPr>
          <w:rFonts w:asciiTheme="minorHAnsi" w:hAnsiTheme="minorHAnsi" w:cstheme="minorHAnsi"/>
          <w:b/>
          <w:sz w:val="20"/>
          <w:szCs w:val="20"/>
          <w:lang w:val="es-EC"/>
        </w:rPr>
      </w:pPr>
      <w:r>
        <w:rPr>
          <w:rFonts w:asciiTheme="minorHAnsi" w:hAnsiTheme="minorHAnsi" w:cstheme="minorHAnsi"/>
          <w:sz w:val="20"/>
          <w:szCs w:val="20"/>
          <w:lang w:val="es-EC"/>
        </w:rPr>
        <w:t xml:space="preserve">El Prestatario o Beneficiario (en adelante denominado el “Prestatario”) indicado en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ha solicitado o recibido financiamiento (en adelante denominado “fondos”) del Banco Interamericano de Desarrollo (en adelante denominado “el Banco”) para sufragar el costo del proyecto especificado en los </w:t>
      </w:r>
      <w:r>
        <w:rPr>
          <w:rFonts w:asciiTheme="minorHAnsi" w:hAnsiTheme="minorHAnsi" w:cstheme="minorHAnsi"/>
          <w:b/>
          <w:sz w:val="20"/>
          <w:szCs w:val="20"/>
          <w:lang w:val="es-EC"/>
        </w:rPr>
        <w:t>DDL</w:t>
      </w:r>
      <w:r>
        <w:rPr>
          <w:rFonts w:asciiTheme="minorHAnsi" w:hAnsiTheme="minorHAnsi" w:cstheme="minorHAnsi"/>
          <w:sz w:val="20"/>
          <w:szCs w:val="20"/>
          <w:lang w:val="es-EC"/>
        </w:rPr>
        <w:t>. El Prestatario destinará una porción de dichos fondos para efectuar pagos elegibles en virtud del Contrato para el cual se emiten estos Documentos de Licitación.</w:t>
      </w:r>
    </w:p>
    <w:p>
      <w:pPr>
        <w:numPr>
          <w:ilvl w:val="0"/>
          <w:numId w:val="7"/>
        </w:numPr>
        <w:spacing w:before="60" w:after="60" w:line="240" w:lineRule="auto"/>
        <w:ind w:left="1267" w:hanging="720"/>
        <w:jc w:val="both"/>
        <w:rPr>
          <w:rFonts w:asciiTheme="minorHAnsi" w:hAnsiTheme="minorHAnsi" w:cstheme="minorHAnsi"/>
          <w:b/>
          <w:sz w:val="20"/>
          <w:szCs w:val="20"/>
          <w:lang w:val="es-EC"/>
        </w:rPr>
      </w:pPr>
      <w:r>
        <w:rPr>
          <w:rFonts w:asciiTheme="minorHAnsi" w:hAnsiTheme="minorHAnsi" w:cstheme="minorHAnsi"/>
          <w:spacing w:val="-3"/>
          <w:sz w:val="20"/>
          <w:szCs w:val="20"/>
          <w:lang w:val="es-EC"/>
        </w:rPr>
        <w:t xml:space="preserve">El Banco efectuará pagos solamente a pedido del Prestatario y una vez que el Banco  los haya aprobado de conformidad con las estipulaciones </w:t>
      </w:r>
      <w:r>
        <w:rPr>
          <w:rFonts w:asciiTheme="minorHAnsi" w:hAnsiTheme="minorHAnsi" w:cstheme="minorHAnsi"/>
          <w:sz w:val="20"/>
          <w:szCs w:val="20"/>
          <w:lang w:val="es-EC"/>
        </w:rPr>
        <w:t xml:space="preserve">establecidas en el acuerdo financiero entre el Prestatario y el Banco (en adelante denominado “el Contrato de Préstamo”). </w:t>
      </w:r>
      <w:r>
        <w:rPr>
          <w:rFonts w:asciiTheme="minorHAnsi" w:hAnsiTheme="minorHAnsi" w:cstheme="minorHAnsi"/>
          <w:spacing w:val="-3"/>
          <w:sz w:val="20"/>
          <w:szCs w:val="20"/>
          <w:lang w:val="es-EC"/>
        </w:rPr>
        <w:t>Dichos pagos se ajustarán en todos sus aspectos a las condiciones de dicho</w:t>
      </w:r>
      <w:r>
        <w:rPr>
          <w:rFonts w:asciiTheme="minorHAnsi" w:hAnsiTheme="minorHAnsi" w:cstheme="minorHAnsi"/>
          <w:sz w:val="20"/>
          <w:szCs w:val="20"/>
          <w:lang w:val="es-EC"/>
        </w:rPr>
        <w:t xml:space="preserve"> Contrato de Préstamo. </w:t>
      </w:r>
      <w:r>
        <w:rPr>
          <w:rFonts w:asciiTheme="minorHAnsi" w:hAnsiTheme="minorHAnsi" w:cstheme="minorHAnsi"/>
          <w:spacing w:val="-3"/>
          <w:sz w:val="20"/>
          <w:szCs w:val="20"/>
          <w:lang w:val="es-EC"/>
        </w:rPr>
        <w:t>Nadie más que el Prestatario podrá tener derecho alguno en virtud del Contrato de Préstamo ni tendrá ningún derecho a los fondos del préstamo</w:t>
      </w:r>
      <w:r>
        <w:rPr>
          <w:rFonts w:asciiTheme="minorHAnsi" w:hAnsiTheme="minorHAnsi" w:cstheme="minorHAnsi"/>
          <w:sz w:val="20"/>
          <w:szCs w:val="20"/>
          <w:lang w:val="es-EC"/>
        </w:rPr>
        <w:t>.</w:t>
      </w:r>
    </w:p>
    <w:p>
      <w:pPr>
        <w:keepNext/>
        <w:keepLines/>
        <w:numPr>
          <w:ilvl w:val="0"/>
          <w:numId w:val="4"/>
        </w:numPr>
        <w:spacing w:before="240" w:after="0" w:line="240" w:lineRule="auto"/>
        <w:ind w:left="540" w:hanging="540"/>
        <w:outlineLvl w:val="1"/>
        <w:rPr>
          <w:rFonts w:asciiTheme="minorHAnsi" w:hAnsiTheme="minorHAnsi" w:cstheme="minorHAnsi"/>
          <w:sz w:val="20"/>
          <w:szCs w:val="20"/>
          <w:lang w:val="es-EC"/>
        </w:rPr>
      </w:pPr>
      <w:bookmarkStart w:id="5" w:name="_Toc317173204"/>
      <w:bookmarkStart w:id="6" w:name="_Toc478103417"/>
      <w:r>
        <w:rPr>
          <w:rFonts w:asciiTheme="minorHAnsi" w:hAnsiTheme="minorHAnsi" w:cstheme="minorHAnsi"/>
          <w:b/>
          <w:sz w:val="20"/>
          <w:szCs w:val="20"/>
          <w:lang w:val="es-EC"/>
        </w:rPr>
        <w:t>Fraude y Corrupción y Prácticas Prohibidas</w:t>
      </w:r>
      <w:bookmarkEnd w:id="5"/>
      <w:bookmarkEnd w:id="6"/>
    </w:p>
    <w:p>
      <w:pPr>
        <w:numPr>
          <w:ilvl w:val="0"/>
          <w:numId w:val="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Banco exige el cumplimiento de su política con respecto a fraude y corrupción y prácticas prohibidas que se indican en la Sección VI.</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7" w:name="_Toc478103418"/>
      <w:r>
        <w:rPr>
          <w:rFonts w:asciiTheme="minorHAnsi" w:hAnsiTheme="minorHAnsi" w:cstheme="minorHAnsi"/>
          <w:b/>
          <w:sz w:val="20"/>
          <w:szCs w:val="20"/>
          <w:lang w:val="es-EC"/>
        </w:rPr>
        <w:t>Oferentes Elegibles</w:t>
      </w:r>
      <w:bookmarkEnd w:id="7"/>
    </w:p>
    <w:p>
      <w:pPr>
        <w:numPr>
          <w:ilvl w:val="0"/>
          <w:numId w:val="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V de este documento se indican los países miembros del Banco al igual que los criterios para determinar la nacionalidad de los Oferentes y el origen de los bienes y servicios. Los Oferentes originarios de un país miembro del Banco, al igual que los bienes suministrados, no serán elegibles si:</w:t>
      </w:r>
    </w:p>
    <w:p>
      <w:pPr>
        <w:numPr>
          <w:ilvl w:val="0"/>
          <w:numId w:val="1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las leyes o la reglamentación oficial el país del Prestatario prohíbe relaciones comerciales con ese país; o</w:t>
      </w:r>
    </w:p>
    <w:p>
      <w:pPr>
        <w:numPr>
          <w:ilvl w:val="0"/>
          <w:numId w:val="1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pPr>
        <w:numPr>
          <w:ilvl w:val="0"/>
          <w:numId w:val="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pPr>
        <w:numPr>
          <w:ilvl w:val="0"/>
          <w:numId w:val="11"/>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están o han estado asociados, con una firma o con cualquiera de sus afiliados, que ha sido contratada por el Comprador para la prestación de servicios de consultoría para la preparación del diseño, las especificaciones técnicas y otros documentos que se utilizarán en la licitación para la adquisición de los bienes objeto de estos Documentos de Licitación; o</w:t>
      </w:r>
    </w:p>
    <w:p>
      <w:pPr>
        <w:numPr>
          <w:ilvl w:val="0"/>
          <w:numId w:val="11"/>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presentan más de una Oferta en este proceso licitatorio, excepto si se trata de ofertas alternativas permitidas bajo la Cláusula 13 de las IAO. Sin embargo, esto no limita la participación de subcontratistas en más de una Oferta.</w:t>
      </w:r>
    </w:p>
    <w:p>
      <w:pPr>
        <w:numPr>
          <w:ilvl w:val="0"/>
          <w:numId w:val="9"/>
        </w:numPr>
        <w:spacing w:before="60" w:after="60" w:line="240" w:lineRule="auto"/>
        <w:ind w:left="1276" w:hanging="709"/>
        <w:jc w:val="both"/>
        <w:rPr>
          <w:rFonts w:asciiTheme="minorHAnsi" w:hAnsiTheme="minorHAnsi" w:cstheme="minorHAnsi"/>
          <w:sz w:val="20"/>
          <w:szCs w:val="20"/>
          <w:lang w:val="es-EC"/>
        </w:rPr>
      </w:pPr>
      <w:r>
        <w:rPr>
          <w:rFonts w:asciiTheme="minorHAnsi" w:hAnsiTheme="minorHAnsi" w:cstheme="minorHAnsi"/>
          <w:sz w:val="20"/>
          <w:szCs w:val="20"/>
          <w:lang w:val="es-EC"/>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pPr>
        <w:numPr>
          <w:ilvl w:val="0"/>
          <w:numId w:val="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Las empresas estatales del país Prestatario serán elegibles solamente si pueden demostrar que (i) tienen autonomía legal y financiera; (ii) operan conforme a las leyes comerciales; y (iii) no dependen de ninguna agencia del Prestatario.</w:t>
      </w:r>
    </w:p>
    <w:p>
      <w:pPr>
        <w:numPr>
          <w:ilvl w:val="0"/>
          <w:numId w:val="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Los Oferentes deberán proporcionar al Comprador evidencia satisfactoria de su continua elegibilidad, cuando el Comprador razonablemente la solicite.</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8" w:name="_Toc438438824"/>
      <w:bookmarkStart w:id="9" w:name="_Toc438532568"/>
      <w:bookmarkStart w:id="10" w:name="_Toc438733968"/>
      <w:bookmarkStart w:id="11" w:name="_Toc438907009"/>
      <w:bookmarkStart w:id="12" w:name="_Toc438907208"/>
      <w:bookmarkStart w:id="13" w:name="_Toc106180650"/>
      <w:bookmarkStart w:id="14" w:name="_Toc317173206"/>
      <w:bookmarkStart w:id="15" w:name="_Toc478103419"/>
      <w:r>
        <w:rPr>
          <w:rFonts w:asciiTheme="minorHAnsi" w:hAnsiTheme="minorHAnsi" w:cstheme="minorHAnsi"/>
          <w:b/>
          <w:sz w:val="20"/>
          <w:szCs w:val="20"/>
          <w:lang w:val="es-EC"/>
        </w:rPr>
        <w:t>Elegibilidad de los Bienes y Servicios Conexos</w:t>
      </w:r>
      <w:bookmarkEnd w:id="8"/>
      <w:bookmarkEnd w:id="9"/>
      <w:bookmarkEnd w:id="10"/>
      <w:bookmarkEnd w:id="11"/>
      <w:bookmarkEnd w:id="12"/>
      <w:bookmarkEnd w:id="13"/>
      <w:bookmarkEnd w:id="14"/>
      <w:bookmarkEnd w:id="15"/>
    </w:p>
    <w:p>
      <w:pPr>
        <w:numPr>
          <w:ilvl w:val="0"/>
          <w:numId w:val="1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Todos los Bienes y Servicios Conexos que hayan de suministrarse de conformidad con el contrato y que sean financiados por el Banco deben tener su origen en cualquier país miembro del Banco de acuerdo con la Sección V, Países Elegibles, con la excepción de los casos indicados en la Cláusula 4.1 (a) y (b).</w:t>
      </w:r>
    </w:p>
    <w:p>
      <w:pPr>
        <w:numPr>
          <w:ilvl w:val="0"/>
          <w:numId w:val="1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Para propósitos de esta cláusula, el término “bienes” incluye mercaderías, materias primas, maquinaria, equipos y plantas industriales; y “servicios conexos” incluye servicios tales como transporte, seguros, instalaciones, puesta en servicio, capacitación y mantenimiento inicial.</w:t>
      </w:r>
    </w:p>
    <w:p>
      <w:pPr>
        <w:numPr>
          <w:ilvl w:val="0"/>
          <w:numId w:val="1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Los criterios para determinar el origen de los bienes y los servicios conexos se encuentran indicados en la Sección V, Países Elegibles.</w:t>
      </w:r>
    </w:p>
    <w:p>
      <w:pPr>
        <w:keepNext/>
        <w:keepLines/>
        <w:numPr>
          <w:ilvl w:val="0"/>
          <w:numId w:val="3"/>
        </w:numPr>
        <w:spacing w:before="240" w:after="120" w:line="240" w:lineRule="auto"/>
        <w:ind w:left="360"/>
        <w:outlineLvl w:val="1"/>
        <w:rPr>
          <w:rFonts w:eastAsia="Times New Roman" w:asciiTheme="minorHAnsi" w:hAnsiTheme="minorHAnsi" w:cstheme="minorHAnsi"/>
          <w:b/>
          <w:bCs/>
          <w:sz w:val="20"/>
          <w:szCs w:val="20"/>
          <w:lang w:val="es-EC"/>
        </w:rPr>
      </w:pPr>
      <w:bookmarkStart w:id="16" w:name="_Toc505659524"/>
      <w:bookmarkStart w:id="17" w:name="_Toc106180651"/>
      <w:bookmarkStart w:id="18" w:name="_Toc317173207"/>
      <w:bookmarkStart w:id="19" w:name="_Toc478103420"/>
      <w:r>
        <w:rPr>
          <w:rFonts w:eastAsia="Times New Roman" w:asciiTheme="minorHAnsi" w:hAnsiTheme="minorHAnsi" w:cstheme="minorHAnsi"/>
          <w:b/>
          <w:bCs/>
          <w:sz w:val="20"/>
          <w:szCs w:val="20"/>
          <w:lang w:val="es-EC"/>
        </w:rPr>
        <w:t>CONTENIDO DE LOS DOCUMENTOS DE LICITACIÓN</w:t>
      </w:r>
      <w:bookmarkEnd w:id="16"/>
      <w:bookmarkEnd w:id="17"/>
      <w:bookmarkEnd w:id="18"/>
      <w:bookmarkEnd w:id="19"/>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20" w:name="_Toc106180652"/>
      <w:bookmarkStart w:id="21" w:name="_Toc317173208"/>
      <w:bookmarkStart w:id="22" w:name="_Toc478103421"/>
      <w:r>
        <w:rPr>
          <w:rFonts w:asciiTheme="minorHAnsi" w:hAnsiTheme="minorHAnsi" w:cstheme="minorHAnsi"/>
          <w:b/>
          <w:sz w:val="20"/>
          <w:szCs w:val="20"/>
          <w:lang w:val="es-EC"/>
        </w:rPr>
        <w:t>Secciones de los Documentos de Licitación</w:t>
      </w:r>
      <w:bookmarkEnd w:id="20"/>
      <w:bookmarkEnd w:id="21"/>
      <w:bookmarkEnd w:id="22"/>
    </w:p>
    <w:p>
      <w:pPr>
        <w:numPr>
          <w:ilvl w:val="0"/>
          <w:numId w:val="13"/>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Los Documentos de Licitación están compuestos por las Partes 1, 2, y 3 incluidas sus respectivas secciones que a continuación se indican y cualquier enmienda emitida en virtud de la Cláusula 8 de las IAO.</w:t>
      </w:r>
    </w:p>
    <w:tbl>
      <w:tblPr>
        <w:tblStyle w:val="46"/>
        <w:tblW w:w="8140" w:type="dxa"/>
        <w:tblInd w:w="1328" w:type="dxa"/>
        <w:tblLayout w:type="fixed"/>
        <w:tblCellMar>
          <w:top w:w="0" w:type="dxa"/>
          <w:left w:w="108" w:type="dxa"/>
          <w:bottom w:w="0" w:type="dxa"/>
          <w:right w:w="108" w:type="dxa"/>
        </w:tblCellMar>
      </w:tblPr>
      <w:tblGrid>
        <w:gridCol w:w="1296"/>
        <w:gridCol w:w="6844"/>
      </w:tblGrid>
      <w:tr>
        <w:tblPrEx>
          <w:tblLayout w:type="fixed"/>
          <w:tblCellMar>
            <w:top w:w="0" w:type="dxa"/>
            <w:left w:w="108" w:type="dxa"/>
            <w:bottom w:w="0" w:type="dxa"/>
            <w:right w:w="108" w:type="dxa"/>
          </w:tblCellMar>
        </w:tblPrEx>
        <w:tc>
          <w:tcPr>
            <w:tcW w:w="1296" w:type="dxa"/>
          </w:tcPr>
          <w:p>
            <w:pPr>
              <w:tabs>
                <w:tab w:val="left" w:pos="115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PARTE 1 </w:t>
            </w:r>
          </w:p>
        </w:tc>
        <w:tc>
          <w:tcPr>
            <w:tcW w:w="6844" w:type="dxa"/>
          </w:tcPr>
          <w:p>
            <w:pPr>
              <w:tabs>
                <w:tab w:val="left" w:pos="160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Procedimientos de Licitación</w:t>
            </w:r>
          </w:p>
          <w:p>
            <w:pPr>
              <w:tabs>
                <w:tab w:val="left" w:pos="160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Sección I. Instrucciones a los Oferentes (IAO)</w:t>
            </w:r>
          </w:p>
          <w:p>
            <w:pPr>
              <w:tabs>
                <w:tab w:val="left" w:pos="160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Sección II. Datos de la Licitación (DDL)</w:t>
            </w:r>
          </w:p>
          <w:p>
            <w:pPr>
              <w:tabs>
                <w:tab w:val="left" w:pos="160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Sección III. Criterios de Evaluación y Calificación</w:t>
            </w:r>
          </w:p>
          <w:p>
            <w:pPr>
              <w:tabs>
                <w:tab w:val="left" w:pos="160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Sección IV. Formularios de la Oferta </w:t>
            </w:r>
          </w:p>
          <w:p>
            <w:pPr>
              <w:tabs>
                <w:tab w:val="left" w:pos="115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Sección V. Países Elegibles </w:t>
            </w:r>
          </w:p>
          <w:p>
            <w:pPr>
              <w:tabs>
                <w:tab w:val="left" w:pos="115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Sección VI. Fraude y Corrupción y Prácticas Prohibidas </w:t>
            </w:r>
          </w:p>
        </w:tc>
      </w:tr>
      <w:tr>
        <w:tblPrEx>
          <w:tblLayout w:type="fixed"/>
          <w:tblCellMar>
            <w:top w:w="0" w:type="dxa"/>
            <w:left w:w="108" w:type="dxa"/>
            <w:bottom w:w="0" w:type="dxa"/>
            <w:right w:w="108" w:type="dxa"/>
          </w:tblCellMar>
        </w:tblPrEx>
        <w:tc>
          <w:tcPr>
            <w:tcW w:w="1296" w:type="dxa"/>
          </w:tcPr>
          <w:p>
            <w:pPr>
              <w:tabs>
                <w:tab w:val="left" w:pos="115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PARTE 2</w:t>
            </w:r>
          </w:p>
        </w:tc>
        <w:tc>
          <w:tcPr>
            <w:tcW w:w="6844"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Lista de Requisitos </w:t>
            </w:r>
          </w:p>
          <w:p>
            <w:pPr>
              <w:tabs>
                <w:tab w:val="left" w:pos="16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Sección VII. Lista de los Bienes y Servicios y Plan de Entrega </w:t>
            </w:r>
          </w:p>
        </w:tc>
      </w:tr>
      <w:tr>
        <w:tblPrEx>
          <w:tblLayout w:type="fixed"/>
          <w:tblCellMar>
            <w:top w:w="0" w:type="dxa"/>
            <w:left w:w="108" w:type="dxa"/>
            <w:bottom w:w="0" w:type="dxa"/>
            <w:right w:w="108" w:type="dxa"/>
          </w:tblCellMar>
        </w:tblPrEx>
        <w:tc>
          <w:tcPr>
            <w:tcW w:w="1296" w:type="dxa"/>
          </w:tcPr>
          <w:p>
            <w:pPr>
              <w:tabs>
                <w:tab w:val="left" w:pos="115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PARTE 3</w:t>
            </w:r>
          </w:p>
        </w:tc>
        <w:tc>
          <w:tcPr>
            <w:tcW w:w="6844" w:type="dxa"/>
          </w:tcPr>
          <w:p>
            <w:pPr>
              <w:tabs>
                <w:tab w:val="left" w:pos="1152"/>
                <w:tab w:val="left" w:pos="169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Contrato</w:t>
            </w:r>
          </w:p>
          <w:p>
            <w:pPr>
              <w:tabs>
                <w:tab w:val="left" w:pos="16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Sección VIII. Condiciones Generales de Contrato (CGC)</w:t>
            </w:r>
          </w:p>
          <w:p>
            <w:pPr>
              <w:tabs>
                <w:tab w:val="left" w:pos="16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Sección IX. Condiciones Especiales de Contrato (CEC)</w:t>
            </w:r>
          </w:p>
          <w:p>
            <w:pPr>
              <w:tabs>
                <w:tab w:val="left" w:pos="1152"/>
                <w:tab w:val="left" w:pos="2502"/>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Sección X. Formularios del Contrato</w:t>
            </w:r>
          </w:p>
        </w:tc>
      </w:tr>
    </w:tbl>
    <w:p>
      <w:pPr>
        <w:numPr>
          <w:ilvl w:val="0"/>
          <w:numId w:val="13"/>
        </w:numPr>
        <w:spacing w:before="60" w:after="60" w:line="240" w:lineRule="auto"/>
        <w:ind w:left="1267" w:hanging="720"/>
        <w:jc w:val="both"/>
        <w:rPr>
          <w:rFonts w:asciiTheme="minorHAnsi" w:hAnsiTheme="minorHAnsi" w:cstheme="minorHAnsi"/>
          <w:sz w:val="20"/>
          <w:szCs w:val="20"/>
          <w:lang w:val="es-EC"/>
        </w:rPr>
      </w:pPr>
      <w:bookmarkStart w:id="23" w:name="_Toc438438827"/>
      <w:bookmarkStart w:id="24" w:name="_Toc438532575"/>
      <w:bookmarkStart w:id="25" w:name="_Toc438733971"/>
      <w:bookmarkStart w:id="26" w:name="_Toc438907011"/>
      <w:bookmarkStart w:id="27" w:name="_Toc438907210"/>
      <w:bookmarkStart w:id="28" w:name="_Toc106180653"/>
      <w:bookmarkStart w:id="29" w:name="_Toc317173209"/>
      <w:r>
        <w:rPr>
          <w:rFonts w:asciiTheme="minorHAnsi" w:hAnsiTheme="minorHAnsi" w:cstheme="minorHAnsi"/>
          <w:sz w:val="20"/>
          <w:szCs w:val="20"/>
          <w:lang w:val="es-EC"/>
        </w:rPr>
        <w:t>El Llamado a Licitación emitido por el Comprador no forma parte de los Documentos de Licitación.</w:t>
      </w:r>
    </w:p>
    <w:p>
      <w:pPr>
        <w:numPr>
          <w:ilvl w:val="0"/>
          <w:numId w:val="13"/>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no se responsabiliza por la integridad de los Documentos de Licitación y sus enmiendas, de no haber sido obtenidos directamente del Comprador.</w:t>
      </w:r>
    </w:p>
    <w:p>
      <w:pPr>
        <w:numPr>
          <w:ilvl w:val="0"/>
          <w:numId w:val="13"/>
        </w:numPr>
        <w:spacing w:before="60" w:after="60" w:line="240" w:lineRule="auto"/>
        <w:ind w:left="1267" w:hanging="720"/>
        <w:jc w:val="both"/>
        <w:rPr>
          <w:rFonts w:asciiTheme="minorHAnsi" w:hAnsiTheme="minorHAnsi" w:cstheme="minorHAnsi"/>
          <w:b/>
          <w:sz w:val="20"/>
          <w:szCs w:val="20"/>
          <w:lang w:val="es-EC"/>
        </w:rPr>
      </w:pPr>
      <w:r>
        <w:rPr>
          <w:rFonts w:asciiTheme="minorHAnsi" w:hAnsiTheme="minorHAnsi" w:cstheme="minorHAnsi"/>
          <w:sz w:val="20"/>
          <w:szCs w:val="20"/>
          <w:lang w:val="es-EC"/>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30" w:name="_Toc478103422"/>
      <w:r>
        <w:rPr>
          <w:rFonts w:asciiTheme="minorHAnsi" w:hAnsiTheme="minorHAnsi" w:cstheme="minorHAnsi"/>
          <w:b/>
          <w:sz w:val="20"/>
          <w:szCs w:val="20"/>
          <w:lang w:val="es-EC"/>
        </w:rPr>
        <w:t>Aclaración de los Documentos de Licitación</w:t>
      </w:r>
      <w:bookmarkEnd w:id="23"/>
      <w:bookmarkEnd w:id="24"/>
      <w:bookmarkEnd w:id="25"/>
      <w:bookmarkEnd w:id="26"/>
      <w:bookmarkEnd w:id="27"/>
      <w:bookmarkEnd w:id="28"/>
      <w:bookmarkEnd w:id="29"/>
      <w:bookmarkEnd w:id="30"/>
    </w:p>
    <w:p>
      <w:pPr>
        <w:numPr>
          <w:ilvl w:val="0"/>
          <w:numId w:val="14"/>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 xml:space="preserve">Todo Oferente potencial que requiera alguna aclaración sobre los Documentos de Licitación deberá comunicarse con el Comprador por escrito a la dirección del Comprador que </w:t>
      </w:r>
      <w:r>
        <w:rPr>
          <w:rFonts w:asciiTheme="minorHAnsi" w:hAnsiTheme="minorHAnsi" w:cstheme="minorHAnsi"/>
          <w:b/>
          <w:sz w:val="20"/>
          <w:szCs w:val="20"/>
          <w:lang w:val="es-EC"/>
        </w:rPr>
        <w:t xml:space="preserve">se suministra en los DDL. </w:t>
      </w:r>
      <w:r>
        <w:rPr>
          <w:rFonts w:asciiTheme="minorHAnsi" w:hAnsiTheme="minorHAnsi" w:cstheme="minorHAnsi"/>
          <w:sz w:val="20"/>
          <w:szCs w:val="20"/>
          <w:lang w:val="es-EC"/>
        </w:rPr>
        <w:t>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Si como resultado de las aclaraciones, el Comprador considera necesario enmendar los Documentos de Licitación, deberá hacerlo siguiendo el procedimiento indicado en la Cláusula 8 y Subcláusula 24.2, de las IAO.</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31" w:name="_Toc478103423"/>
      <w:r>
        <w:rPr>
          <w:rFonts w:asciiTheme="minorHAnsi" w:hAnsiTheme="minorHAnsi" w:cstheme="minorHAnsi"/>
          <w:b/>
          <w:sz w:val="20"/>
          <w:szCs w:val="20"/>
          <w:lang w:val="es-EC"/>
        </w:rPr>
        <w:t>Enmienda a los Documentos de Licitación</w:t>
      </w:r>
      <w:bookmarkEnd w:id="31"/>
    </w:p>
    <w:p>
      <w:pPr>
        <w:numPr>
          <w:ilvl w:val="0"/>
          <w:numId w:val="1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podrá, en cualquier momento antes del vencimiento del plazo para presentación de ofertas, enmendar los Documentos de Licitación mediante la emisión de una enmienda.</w:t>
      </w:r>
    </w:p>
    <w:p>
      <w:pPr>
        <w:numPr>
          <w:ilvl w:val="0"/>
          <w:numId w:val="1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Toda enmienda emitida formará parte integral de los Documentos de Licitación y deberá ser comunicada por escrito a todos los que hayan obtenido los documentos de Licitación directamente del Comprador.</w:t>
      </w:r>
    </w:p>
    <w:p>
      <w:pPr>
        <w:numPr>
          <w:ilvl w:val="0"/>
          <w:numId w:val="1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podrá, a su discreción, prorrogar el plazo de presentación de ofertas a fin de dar a los posibles Oferentes un plazo razonable para que puedan tomar en cuenta las enmiendas en la preparación de sus ofertas, de conformidad con la Subcláusula 24.2 de las IAO.</w:t>
      </w:r>
    </w:p>
    <w:p>
      <w:pPr>
        <w:keepNext/>
        <w:keepLines/>
        <w:numPr>
          <w:ilvl w:val="0"/>
          <w:numId w:val="3"/>
        </w:numPr>
        <w:spacing w:before="240" w:after="120" w:line="240" w:lineRule="auto"/>
        <w:ind w:left="360"/>
        <w:outlineLvl w:val="1"/>
        <w:rPr>
          <w:rFonts w:eastAsia="Times New Roman" w:asciiTheme="minorHAnsi" w:hAnsiTheme="minorHAnsi" w:cstheme="minorHAnsi"/>
          <w:b/>
          <w:bCs/>
          <w:sz w:val="20"/>
          <w:szCs w:val="20"/>
          <w:lang w:val="es-EC"/>
        </w:rPr>
      </w:pPr>
      <w:bookmarkStart w:id="32" w:name="_Toc478103424"/>
      <w:r>
        <w:rPr>
          <w:rFonts w:eastAsia="Times New Roman" w:asciiTheme="minorHAnsi" w:hAnsiTheme="minorHAnsi" w:cstheme="minorHAnsi"/>
          <w:b/>
          <w:bCs/>
          <w:sz w:val="20"/>
          <w:szCs w:val="20"/>
          <w:lang w:val="es-EC"/>
        </w:rPr>
        <w:t>PREPARACIÓN DE LAS OFERTAS</w:t>
      </w:r>
      <w:bookmarkEnd w:id="32"/>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33" w:name="_Toc478103425"/>
      <w:bookmarkStart w:id="34" w:name="_Toc317173212"/>
      <w:bookmarkStart w:id="35" w:name="_Toc106180656"/>
      <w:bookmarkStart w:id="36" w:name="_Toc438733974"/>
      <w:bookmarkStart w:id="37" w:name="_Toc438907212"/>
      <w:bookmarkStart w:id="38" w:name="_Toc438907013"/>
      <w:bookmarkStart w:id="39" w:name="_Toc438438830"/>
      <w:bookmarkStart w:id="40" w:name="_Toc438532578"/>
      <w:r>
        <w:rPr>
          <w:rFonts w:asciiTheme="minorHAnsi" w:hAnsiTheme="minorHAnsi" w:cstheme="minorHAnsi"/>
          <w:b/>
          <w:sz w:val="20"/>
          <w:szCs w:val="20"/>
          <w:lang w:val="es-EC"/>
        </w:rPr>
        <w:t>Costo de la Oferta</w:t>
      </w:r>
      <w:bookmarkEnd w:id="33"/>
      <w:bookmarkEnd w:id="34"/>
      <w:bookmarkEnd w:id="35"/>
      <w:bookmarkEnd w:id="36"/>
      <w:bookmarkEnd w:id="37"/>
      <w:bookmarkEnd w:id="38"/>
      <w:bookmarkEnd w:id="39"/>
      <w:bookmarkEnd w:id="40"/>
    </w:p>
    <w:p>
      <w:pPr>
        <w:numPr>
          <w:ilvl w:val="0"/>
          <w:numId w:val="16"/>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El Oferente financiará todos los costos relacionados con la preparación y presentación de su oferta, y el Comprador no estará sujeto ni será responsable en ningún caso por dichos costos, independientemente de la modalidad o del resultado del proceso de licitación.</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41" w:name="_Toc438438831"/>
      <w:bookmarkStart w:id="42" w:name="_Toc438532579"/>
      <w:bookmarkStart w:id="43" w:name="_Toc438733975"/>
      <w:bookmarkStart w:id="44" w:name="_Toc438907014"/>
      <w:bookmarkStart w:id="45" w:name="_Toc438907213"/>
      <w:bookmarkStart w:id="46" w:name="_Toc106180657"/>
      <w:bookmarkStart w:id="47" w:name="_Toc317173213"/>
      <w:bookmarkStart w:id="48" w:name="_Toc478103426"/>
      <w:bookmarkStart w:id="49" w:name="_Toc438438832"/>
      <w:bookmarkStart w:id="50" w:name="_Toc438532580"/>
      <w:bookmarkStart w:id="51" w:name="_Toc438733976"/>
      <w:bookmarkStart w:id="52" w:name="_Toc438907015"/>
      <w:bookmarkStart w:id="53" w:name="_Toc438907214"/>
      <w:bookmarkStart w:id="54" w:name="_Toc106180658"/>
      <w:bookmarkStart w:id="55" w:name="_Toc317173214"/>
      <w:r>
        <w:rPr>
          <w:rFonts w:asciiTheme="minorHAnsi" w:hAnsiTheme="minorHAnsi" w:cstheme="minorHAnsi"/>
          <w:b/>
          <w:sz w:val="20"/>
          <w:szCs w:val="20"/>
          <w:lang w:val="es-EC"/>
        </w:rPr>
        <w:t>Idioma de la Oferta</w:t>
      </w:r>
      <w:bookmarkEnd w:id="41"/>
      <w:bookmarkEnd w:id="42"/>
      <w:bookmarkEnd w:id="43"/>
      <w:bookmarkEnd w:id="44"/>
      <w:bookmarkEnd w:id="45"/>
      <w:bookmarkEnd w:id="46"/>
      <w:bookmarkEnd w:id="47"/>
      <w:bookmarkEnd w:id="48"/>
    </w:p>
    <w:p>
      <w:pPr>
        <w:numPr>
          <w:ilvl w:val="0"/>
          <w:numId w:val="17"/>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 oferta, así como toda la correspondencia y documentos relativos a la oferta intercambiados entre el Oferente y el Comprador deberán ser escritos en el idioma</w:t>
      </w:r>
      <w:r>
        <w:rPr>
          <w:rFonts w:asciiTheme="minorHAnsi" w:hAnsiTheme="minorHAnsi" w:cstheme="minorHAnsi"/>
          <w:b/>
          <w:sz w:val="20"/>
          <w:szCs w:val="20"/>
          <w:lang w:val="es-EC"/>
        </w:rPr>
        <w:t xml:space="preserve"> especificado en los DDL.</w:t>
      </w:r>
      <w:r>
        <w:rPr>
          <w:rFonts w:asciiTheme="minorHAnsi" w:hAnsiTheme="minorHAnsi" w:cstheme="minorHAnsi"/>
          <w:sz w:val="20"/>
          <w:szCs w:val="20"/>
          <w:lang w:val="es-EC"/>
        </w:rPr>
        <w:t xml:space="preserve"> Los documentos de soporte y material impreso que formen parte de la oferta, pueden estar en otro idioma con la condición de que los apartes pertinentes estén acompañados de una traducción fidedigna al idioma </w:t>
      </w:r>
      <w:r>
        <w:rPr>
          <w:rFonts w:asciiTheme="minorHAnsi" w:hAnsiTheme="minorHAnsi" w:cstheme="minorHAnsi"/>
          <w:b/>
          <w:sz w:val="20"/>
          <w:szCs w:val="20"/>
          <w:lang w:val="es-EC"/>
        </w:rPr>
        <w:t>especificado en los DDL</w:t>
      </w:r>
      <w:r>
        <w:rPr>
          <w:rFonts w:asciiTheme="minorHAnsi" w:hAnsiTheme="minorHAnsi" w:cstheme="minorHAnsi"/>
          <w:sz w:val="20"/>
          <w:szCs w:val="20"/>
          <w:lang w:val="es-EC"/>
        </w:rPr>
        <w:t>. Para efectos de interpretación de la oferta, dicha traducción prevalecerá.</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56" w:name="_Toc478103427"/>
      <w:r>
        <w:rPr>
          <w:rFonts w:asciiTheme="minorHAnsi" w:hAnsiTheme="minorHAnsi" w:cstheme="minorHAnsi"/>
          <w:b/>
          <w:sz w:val="20"/>
          <w:szCs w:val="20"/>
          <w:lang w:val="es-EC"/>
        </w:rPr>
        <w:t xml:space="preserve">Documentos </w:t>
      </w:r>
      <w:bookmarkEnd w:id="49"/>
      <w:bookmarkEnd w:id="50"/>
      <w:bookmarkEnd w:id="51"/>
      <w:bookmarkEnd w:id="52"/>
      <w:bookmarkEnd w:id="53"/>
      <w:bookmarkEnd w:id="54"/>
      <w:bookmarkEnd w:id="55"/>
      <w:r>
        <w:rPr>
          <w:rFonts w:asciiTheme="minorHAnsi" w:hAnsiTheme="minorHAnsi" w:cstheme="minorHAnsi"/>
          <w:b/>
          <w:sz w:val="20"/>
          <w:szCs w:val="20"/>
          <w:lang w:val="es-EC"/>
        </w:rPr>
        <w:t>que Componen la Oferta</w:t>
      </w:r>
      <w:bookmarkEnd w:id="56"/>
    </w:p>
    <w:p>
      <w:pPr>
        <w:numPr>
          <w:ilvl w:val="0"/>
          <w:numId w:val="1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 oferta deberá contener los siguientes documentos:</w:t>
      </w:r>
    </w:p>
    <w:p>
      <w:pPr>
        <w:numPr>
          <w:ilvl w:val="0"/>
          <w:numId w:val="1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Formulario de Oferta y Lista de Precios, de conformidad con las Cláusulas 12, 14 y 15 de las IAO;</w:t>
      </w:r>
    </w:p>
    <w:p>
      <w:pPr>
        <w:numPr>
          <w:ilvl w:val="0"/>
          <w:numId w:val="1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Garantía de Mantenimiento de la Oferta o Declaración de Mantenimiento de la Oferta, de conformidad con la Cláusula 21 de las IAO, si se requiere;</w:t>
      </w:r>
    </w:p>
    <w:p>
      <w:pPr>
        <w:numPr>
          <w:ilvl w:val="0"/>
          <w:numId w:val="1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confirmación escrita que autorice al signatario de la oferta a comprometer al Oferente, de conformidad con la Cláusula 22 de las IAO;</w:t>
      </w:r>
    </w:p>
    <w:p>
      <w:pPr>
        <w:numPr>
          <w:ilvl w:val="0"/>
          <w:numId w:val="1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evidencia documentada, de conformidad con la Cláusula 16 de las IAO, que establezca que el Oferente es elegible para presentar una oferta; </w:t>
      </w:r>
    </w:p>
    <w:p>
      <w:pPr>
        <w:numPr>
          <w:ilvl w:val="0"/>
          <w:numId w:val="1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evidencia documentada, de conformidad con la Cláusula 17 de las IAO, que certifique que los Bienes y Servicios Conexos que proporcionará el Oferente son de origen elegible;</w:t>
      </w:r>
    </w:p>
    <w:p>
      <w:pPr>
        <w:numPr>
          <w:ilvl w:val="0"/>
          <w:numId w:val="1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evidencia documentada, de conformidad con las Cláusulas 18 y 30 de las IAO, que establezca que los Bienes y Servicios Conexos se ajustan sustancialmente a los Documentos de Licitación; </w:t>
      </w:r>
    </w:p>
    <w:p>
      <w:pPr>
        <w:numPr>
          <w:ilvl w:val="0"/>
          <w:numId w:val="1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evidencia documentada, de conformidad con la Cláusula 19 de las IAO, que establezca que el Oferente está calificado para ejecutar el Contrato en caso que su oferta sea aceptada; y</w:t>
      </w:r>
    </w:p>
    <w:p>
      <w:pPr>
        <w:numPr>
          <w:ilvl w:val="0"/>
          <w:numId w:val="1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cualquier otro documento requerido en los DDL.</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57" w:name="_Toc106180659"/>
      <w:bookmarkStart w:id="58" w:name="_Toc317173215"/>
      <w:bookmarkStart w:id="59" w:name="_Toc478103428"/>
      <w:r>
        <w:rPr>
          <w:rFonts w:asciiTheme="minorHAnsi" w:hAnsiTheme="minorHAnsi" w:cstheme="minorHAnsi"/>
          <w:b/>
          <w:sz w:val="20"/>
          <w:szCs w:val="20"/>
          <w:lang w:val="es-EC"/>
        </w:rPr>
        <w:t>Formulario de Oferta y Lista de Precios</w:t>
      </w:r>
      <w:bookmarkEnd w:id="57"/>
      <w:bookmarkEnd w:id="58"/>
      <w:bookmarkEnd w:id="59"/>
    </w:p>
    <w:p>
      <w:pPr>
        <w:numPr>
          <w:ilvl w:val="0"/>
          <w:numId w:val="20"/>
        </w:numPr>
        <w:tabs>
          <w:tab w:val="left" w:pos="810"/>
        </w:tabs>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p>
    <w:p>
      <w:pPr>
        <w:numPr>
          <w:ilvl w:val="0"/>
          <w:numId w:val="2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Oferente presentará la Lista de Precios de los Bienes y Servicios Conexos, según corresponda a su origen y utilizando los formularios suministrados en la Sección IV, Formularios de la Oferta.</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60" w:name="_Toc438438834"/>
      <w:bookmarkStart w:id="61" w:name="_Toc438532587"/>
      <w:bookmarkStart w:id="62" w:name="_Toc438733978"/>
      <w:bookmarkStart w:id="63" w:name="_Toc438907017"/>
      <w:bookmarkStart w:id="64" w:name="_Toc438907216"/>
      <w:bookmarkStart w:id="65" w:name="_Toc106180660"/>
      <w:bookmarkStart w:id="66" w:name="_Toc317173216"/>
      <w:bookmarkStart w:id="67" w:name="_Toc478103429"/>
      <w:r>
        <w:rPr>
          <w:rFonts w:asciiTheme="minorHAnsi" w:hAnsiTheme="minorHAnsi" w:cstheme="minorHAnsi"/>
          <w:b/>
          <w:sz w:val="20"/>
          <w:szCs w:val="20"/>
          <w:lang w:val="es-EC"/>
        </w:rPr>
        <w:t>Ofertas Alternativas</w:t>
      </w:r>
      <w:bookmarkEnd w:id="60"/>
      <w:bookmarkEnd w:id="61"/>
      <w:bookmarkEnd w:id="62"/>
      <w:bookmarkEnd w:id="63"/>
      <w:bookmarkEnd w:id="64"/>
      <w:bookmarkEnd w:id="65"/>
      <w:bookmarkEnd w:id="66"/>
      <w:bookmarkEnd w:id="67"/>
    </w:p>
    <w:p>
      <w:pPr>
        <w:numPr>
          <w:ilvl w:val="0"/>
          <w:numId w:val="21"/>
        </w:numPr>
        <w:spacing w:after="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 xml:space="preserve">A menos que se indique lo contrario en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no se considerarán ofertas alternativas.</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68" w:name="_Toc478103430"/>
      <w:bookmarkStart w:id="69" w:name="_Toc438907217"/>
      <w:bookmarkStart w:id="70" w:name="_Toc317173217"/>
      <w:bookmarkStart w:id="71" w:name="_Toc106180661"/>
      <w:bookmarkStart w:id="72" w:name="_Toc438907018"/>
      <w:bookmarkStart w:id="73" w:name="_Toc438438835"/>
      <w:bookmarkStart w:id="74" w:name="_Toc438532588"/>
      <w:bookmarkStart w:id="75" w:name="_Toc438733979"/>
      <w:r>
        <w:rPr>
          <w:rFonts w:asciiTheme="minorHAnsi" w:hAnsiTheme="minorHAnsi" w:cstheme="minorHAnsi"/>
          <w:b/>
          <w:sz w:val="20"/>
          <w:szCs w:val="20"/>
          <w:lang w:val="es-EC"/>
        </w:rPr>
        <w:t>Precios de la Oferta y Lista de Precios</w:t>
      </w:r>
      <w:bookmarkEnd w:id="68"/>
      <w:bookmarkEnd w:id="69"/>
      <w:bookmarkEnd w:id="70"/>
      <w:bookmarkEnd w:id="71"/>
      <w:bookmarkEnd w:id="72"/>
      <w:bookmarkEnd w:id="73"/>
      <w:bookmarkEnd w:id="74"/>
      <w:bookmarkEnd w:id="75"/>
    </w:p>
    <w:p>
      <w:pPr>
        <w:numPr>
          <w:ilvl w:val="0"/>
          <w:numId w:val="2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Los precios y descuentos cotizados por el Oferente en el Formulario de Presentación de la Oferta y en la Lista de Precios deberán ajustarse a los requerimientos que se indican a continuación.</w:t>
      </w:r>
    </w:p>
    <w:p>
      <w:pPr>
        <w:numPr>
          <w:ilvl w:val="0"/>
          <w:numId w:val="2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Todos los lotes y artículos deberán enumerarse y cotizarse por separado en el Formulario de Lista de Precios. </w:t>
      </w:r>
    </w:p>
    <w:p>
      <w:pPr>
        <w:numPr>
          <w:ilvl w:val="0"/>
          <w:numId w:val="2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precio cotizado en el Formulario de Presentación de la Oferta deberá ser el precio total de la oferta, excluyendo cualquier descuento que se ofrezca. </w:t>
      </w:r>
    </w:p>
    <w:p>
      <w:pPr>
        <w:numPr>
          <w:ilvl w:val="0"/>
          <w:numId w:val="2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Oferente cotizará cualquier descuento incondicional e indicará su método de aplicación en el Formulario de Presentación de la Oferta. </w:t>
      </w:r>
    </w:p>
    <w:p>
      <w:pPr>
        <w:numPr>
          <w:ilvl w:val="0"/>
          <w:numId w:val="2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Las expresiones CIP, FCA, CPT y otros términos afines se regirán por las normas prescritas en la edición vigente de Incoterms publicada por la Cámara de Comercio Internacional, según se indique en los DDL.</w:t>
      </w:r>
    </w:p>
    <w:p>
      <w:pPr>
        <w:numPr>
          <w:ilvl w:val="0"/>
          <w:numId w:val="2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 Los precios deberán registrarse de la siguiente manera:</w:t>
      </w:r>
    </w:p>
    <w:p>
      <w:pPr>
        <w:numPr>
          <w:ilvl w:val="0"/>
          <w:numId w:val="23"/>
        </w:numPr>
        <w:spacing w:before="60" w:after="60" w:line="240" w:lineRule="auto"/>
        <w:ind w:left="1620"/>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Para bienes de origen en el País del Comprador:</w:t>
      </w:r>
    </w:p>
    <w:p>
      <w:pPr>
        <w:pStyle w:val="64"/>
        <w:numPr>
          <w:ilvl w:val="0"/>
          <w:numId w:val="24"/>
        </w:numPr>
        <w:spacing w:before="60" w:after="60" w:line="240" w:lineRule="auto"/>
        <w:ind w:left="1980"/>
        <w:contextualSpacing w:val="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el precio de los bienes cotizados CIP (lugar de destino convenido) en el país del Comprador especificado en los </w:t>
      </w:r>
      <w:r>
        <w:rPr>
          <w:rFonts w:asciiTheme="minorHAnsi" w:hAnsiTheme="minorHAnsi" w:cstheme="minorHAnsi"/>
          <w:b/>
          <w:bCs/>
          <w:sz w:val="20"/>
          <w:szCs w:val="20"/>
          <w:lang w:val="es-EC"/>
        </w:rPr>
        <w:t>DDL</w:t>
      </w:r>
      <w:r>
        <w:rPr>
          <w:rFonts w:asciiTheme="minorHAnsi" w:hAnsiTheme="minorHAnsi" w:cstheme="minorHAnsi"/>
          <w:sz w:val="20"/>
          <w:szCs w:val="20"/>
          <w:lang w:val="es-EC"/>
        </w:rPr>
        <w:t>, incluyendo todos los derechos de aduana y los impuestos a la venta o de otro tipo ya pagados o por pagar sobre los componentes y materia prima utilizada en la fabricación o ensamblaje de los bienes</w:t>
      </w:r>
      <w:r>
        <w:rPr>
          <w:rFonts w:eastAsia="Times New Roman" w:asciiTheme="minorHAnsi" w:hAnsiTheme="minorHAnsi" w:cstheme="minorHAnsi"/>
          <w:sz w:val="20"/>
          <w:szCs w:val="20"/>
          <w:lang w:val="es-EC"/>
        </w:rPr>
        <w:t xml:space="preserve">; </w:t>
      </w:r>
    </w:p>
    <w:p>
      <w:pPr>
        <w:pStyle w:val="64"/>
        <w:numPr>
          <w:ilvl w:val="0"/>
          <w:numId w:val="24"/>
        </w:numPr>
        <w:spacing w:before="60" w:after="60" w:line="240" w:lineRule="auto"/>
        <w:ind w:left="1980"/>
        <w:contextualSpacing w:val="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todo impuesto a las ventas u otro tipo de impuesto que obligue el País del Comprador a pagar sobre  los Bienes en caso de ser adjudicado el Contrato al Oferente; y</w:t>
      </w:r>
    </w:p>
    <w:p>
      <w:pPr>
        <w:numPr>
          <w:ilvl w:val="0"/>
          <w:numId w:val="23"/>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Para bienes de origen fuera del País del Comprador y que serán importados</w:t>
      </w:r>
      <w:r>
        <w:rPr>
          <w:rFonts w:eastAsia="Times New Roman" w:asciiTheme="minorHAnsi" w:hAnsiTheme="minorHAnsi" w:cstheme="minorHAnsi"/>
          <w:sz w:val="20"/>
          <w:szCs w:val="20"/>
          <w:lang w:val="es-EC"/>
        </w:rPr>
        <w:t>:</w:t>
      </w:r>
    </w:p>
    <w:p>
      <w:pPr>
        <w:pStyle w:val="64"/>
        <w:numPr>
          <w:ilvl w:val="0"/>
          <w:numId w:val="25"/>
        </w:numPr>
        <w:spacing w:before="60" w:after="60" w:line="240" w:lineRule="auto"/>
        <w:ind w:left="1980"/>
        <w:contextualSpacing w:val="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el precio de los bienes cotizados CIP (lugar de destino convenido) en el país del Comprador, según se indica en los </w:t>
      </w:r>
      <w:r>
        <w:rPr>
          <w:rFonts w:asciiTheme="minorHAnsi" w:hAnsiTheme="minorHAnsi" w:cstheme="minorHAnsi"/>
          <w:b/>
          <w:sz w:val="20"/>
          <w:szCs w:val="20"/>
          <w:lang w:val="es-EC"/>
        </w:rPr>
        <w:t>DDL</w:t>
      </w:r>
      <w:r>
        <w:rPr>
          <w:rFonts w:eastAsia="Times New Roman" w:asciiTheme="minorHAnsi" w:hAnsiTheme="minorHAnsi" w:cstheme="minorHAnsi"/>
          <w:sz w:val="20"/>
          <w:szCs w:val="20"/>
          <w:lang w:val="es-EC"/>
        </w:rPr>
        <w:t xml:space="preserve">; </w:t>
      </w:r>
    </w:p>
    <w:p>
      <w:pPr>
        <w:pStyle w:val="64"/>
        <w:numPr>
          <w:ilvl w:val="0"/>
          <w:numId w:val="25"/>
        </w:numPr>
        <w:spacing w:before="60" w:after="60" w:line="240" w:lineRule="auto"/>
        <w:ind w:left="1980"/>
        <w:contextualSpacing w:val="0"/>
        <w:jc w:val="both"/>
        <w:rPr>
          <w:rFonts w:eastAsia="Times New Roman" w:asciiTheme="minorHAnsi" w:hAnsiTheme="minorHAnsi" w:cstheme="minorHAnsi"/>
          <w:sz w:val="20"/>
          <w:szCs w:val="20"/>
          <w:shd w:val="clear" w:color="auto" w:fill="FFFF00"/>
          <w:lang w:val="es-EC"/>
        </w:rPr>
      </w:pPr>
      <w:r>
        <w:rPr>
          <w:rFonts w:asciiTheme="minorHAnsi" w:hAnsiTheme="minorHAnsi" w:cstheme="minorHAnsi"/>
          <w:sz w:val="20"/>
          <w:szCs w:val="20"/>
          <w:lang w:val="es-EC"/>
        </w:rPr>
        <w:t xml:space="preserve">además de los precios CIP indicados en (b)(i) anteriormente, el precio de los bienes a ser importados podrán ser cotizados FCA (lugar convenido) o CPT (lugar de destino convenido), si así se indica en los </w:t>
      </w:r>
      <w:r>
        <w:rPr>
          <w:rFonts w:asciiTheme="minorHAnsi" w:hAnsiTheme="minorHAnsi" w:cstheme="minorHAnsi"/>
          <w:b/>
          <w:sz w:val="20"/>
          <w:szCs w:val="20"/>
          <w:lang w:val="es-EC"/>
        </w:rPr>
        <w:t>DDL</w:t>
      </w:r>
      <w:r>
        <w:rPr>
          <w:rFonts w:eastAsia="Times New Roman" w:asciiTheme="minorHAnsi" w:hAnsiTheme="minorHAnsi" w:cstheme="minorHAnsi"/>
          <w:sz w:val="20"/>
          <w:szCs w:val="20"/>
          <w:lang w:val="es-EC"/>
        </w:rPr>
        <w:t>;</w:t>
      </w:r>
    </w:p>
    <w:p>
      <w:pPr>
        <w:numPr>
          <w:ilvl w:val="0"/>
          <w:numId w:val="23"/>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Para bienes de origen fuera del país del Comprador, e importados previamente</w:t>
      </w:r>
      <w:r>
        <w:rPr>
          <w:rFonts w:eastAsia="Times New Roman" w:asciiTheme="minorHAnsi" w:hAnsiTheme="minorHAnsi" w:cstheme="minorHAnsi"/>
          <w:sz w:val="20"/>
          <w:szCs w:val="20"/>
          <w:lang w:val="es-EC"/>
        </w:rPr>
        <w:t xml:space="preserve">: </w:t>
      </w:r>
    </w:p>
    <w:p>
      <w:pPr>
        <w:pStyle w:val="64"/>
        <w:numPr>
          <w:ilvl w:val="0"/>
          <w:numId w:val="26"/>
        </w:numPr>
        <w:spacing w:before="60" w:after="60" w:line="240" w:lineRule="auto"/>
        <w:ind w:left="1980"/>
        <w:contextualSpacing w:val="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el precio de los bienes cotizados CIP (lugar de destino convenido) en el país del Comprador, incluyendo el valor original de importación, más cualquier margen (o descuento); más cualquier otro costo relacionado, derechos de aduana y otros impuestos de importación pagados o por pagar sobre los Bienes previamente importados</w:t>
      </w:r>
      <w:r>
        <w:rPr>
          <w:rFonts w:eastAsia="Times New Roman" w:asciiTheme="minorHAnsi" w:hAnsiTheme="minorHAnsi" w:cstheme="minorHAnsi"/>
          <w:sz w:val="20"/>
          <w:szCs w:val="20"/>
          <w:lang w:val="es-EC"/>
        </w:rPr>
        <w:t>.</w:t>
      </w:r>
    </w:p>
    <w:p>
      <w:pPr>
        <w:pStyle w:val="64"/>
        <w:numPr>
          <w:ilvl w:val="0"/>
          <w:numId w:val="26"/>
        </w:numPr>
        <w:spacing w:before="60" w:after="60" w:line="240" w:lineRule="auto"/>
        <w:ind w:left="1980"/>
        <w:contextualSpacing w:val="0"/>
        <w:jc w:val="both"/>
        <w:rPr>
          <w:rFonts w:asciiTheme="minorHAnsi" w:hAnsiTheme="minorHAnsi" w:cstheme="minorHAnsi"/>
          <w:sz w:val="20"/>
          <w:szCs w:val="20"/>
          <w:lang w:val="es-EC"/>
        </w:rPr>
      </w:pPr>
      <w:r>
        <w:rPr>
          <w:rFonts w:asciiTheme="minorHAnsi" w:hAnsiTheme="minorHAnsi" w:cstheme="minorHAnsi"/>
          <w:sz w:val="20"/>
          <w:szCs w:val="20"/>
          <w:lang w:val="es-EC"/>
        </w:rPr>
        <w:t>los derechos de aduana y otros impuestos de importación pagados (deberán ser respaldados con evidencia documental) o pagaderos sobre los bienes previamente importados;</w:t>
      </w:r>
    </w:p>
    <w:p>
      <w:pPr>
        <w:pStyle w:val="64"/>
        <w:numPr>
          <w:ilvl w:val="0"/>
          <w:numId w:val="26"/>
        </w:numPr>
        <w:spacing w:before="60" w:after="60" w:line="240" w:lineRule="auto"/>
        <w:ind w:left="1980"/>
        <w:contextualSpacing w:val="0"/>
        <w:jc w:val="both"/>
        <w:rPr>
          <w:rFonts w:asciiTheme="minorHAnsi" w:hAnsiTheme="minorHAnsi" w:cstheme="minorHAnsi"/>
          <w:sz w:val="20"/>
          <w:szCs w:val="20"/>
          <w:lang w:val="es-EC"/>
        </w:rPr>
      </w:pPr>
      <w:r>
        <w:rPr>
          <w:rFonts w:asciiTheme="minorHAnsi" w:hAnsiTheme="minorHAnsi" w:cstheme="minorHAnsi"/>
          <w:sz w:val="20"/>
          <w:szCs w:val="20"/>
          <w:lang w:val="es-EC"/>
        </w:rPr>
        <w:t>el precio de los bienes cotizados CIP (lugar de destino convenido) en el país del Comprador, excluidos los derechos de aduana y otros impuestos de importación pagados o por pagar sobre los bienes previamente importados, que es la diferencia entre (i) y (ii) anteriores;</w:t>
      </w:r>
    </w:p>
    <w:p>
      <w:pPr>
        <w:pStyle w:val="64"/>
        <w:numPr>
          <w:ilvl w:val="0"/>
          <w:numId w:val="26"/>
        </w:numPr>
        <w:spacing w:before="60" w:after="60" w:line="240" w:lineRule="auto"/>
        <w:ind w:left="1980"/>
        <w:contextualSpacing w:val="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cualquier impuesto sobre la venta u otro impuesto  pagadero en el país del Comprador sobre los Bienes si el Contrato es adjudicado al Oferente, y</w:t>
      </w:r>
    </w:p>
    <w:p>
      <w:pPr>
        <w:numPr>
          <w:ilvl w:val="0"/>
          <w:numId w:val="23"/>
        </w:numPr>
        <w:tabs>
          <w:tab w:val="left" w:pos="1152"/>
          <w:tab w:val="left" w:pos="1440"/>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para los Servicios Conexos, fuera de transporte interno y otros servicios necesarios para hacer llegar los Bienes a su destino final, cuando dichos Servicios Conexos sean especificados en la Lista Requerimientos:</w:t>
      </w:r>
    </w:p>
    <w:p>
      <w:pPr>
        <w:pStyle w:val="64"/>
        <w:numPr>
          <w:ilvl w:val="0"/>
          <w:numId w:val="27"/>
        </w:numPr>
        <w:spacing w:before="60" w:after="60" w:line="240" w:lineRule="auto"/>
        <w:ind w:left="1980"/>
        <w:contextualSpacing w:val="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el precio de cada artículo que comprende los Servicios Conexos (inclusive cualquier impuesto aplicable).</w:t>
      </w:r>
    </w:p>
    <w:p>
      <w:pPr>
        <w:numPr>
          <w:ilvl w:val="0"/>
          <w:numId w:val="2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precios cotizados por el Oferente serán fijos durante la ejecución del Contrato y no estarán sujetos a </w:t>
      </w:r>
      <w:r>
        <w:rPr>
          <w:rFonts w:asciiTheme="minorHAnsi" w:hAnsiTheme="minorHAnsi" w:cstheme="minorHAnsi"/>
          <w:b/>
          <w:bCs/>
          <w:sz w:val="20"/>
          <w:szCs w:val="20"/>
          <w:lang w:val="es-EC"/>
        </w:rPr>
        <w:t>ninguna</w:t>
      </w:r>
      <w:r>
        <w:rPr>
          <w:rFonts w:asciiTheme="minorHAnsi" w:hAnsiTheme="minorHAnsi" w:cstheme="minorHAnsi"/>
          <w:sz w:val="20"/>
          <w:szCs w:val="20"/>
          <w:lang w:val="es-EC"/>
        </w:rPr>
        <w:t xml:space="preserve"> variación por ningún motivo, salvo indicación contraria en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Una oferta presentada con precios ajustables no responde a lo solicitado y, en consecuencia, será rechazada de conformidad con la Cláusula 30 de las IAO. Sin embargo, si de acuerdo con lo indicado en los </w:t>
      </w:r>
      <w:r>
        <w:rPr>
          <w:rFonts w:asciiTheme="minorHAnsi" w:hAnsiTheme="minorHAnsi" w:cstheme="minorHAnsi"/>
          <w:b/>
          <w:sz w:val="20"/>
          <w:szCs w:val="20"/>
          <w:lang w:val="es-EC"/>
        </w:rPr>
        <w:t>DDL</w:t>
      </w:r>
      <w:r>
        <w:rPr>
          <w:rFonts w:asciiTheme="minorHAnsi" w:hAnsiTheme="minorHAnsi" w:cstheme="minorHAnsi"/>
          <w:sz w:val="20"/>
          <w:szCs w:val="20"/>
          <w:lang w:val="es-EC"/>
        </w:rPr>
        <w:t>, los precios cotizados por el Oferente pueden ser ajustables durante la ejecución del Contrato, las ofertas que coticen precios fijos no serán rechazadas, y el ajuste de los precios se tratará como si fuera cero.</w:t>
      </w:r>
    </w:p>
    <w:p>
      <w:pPr>
        <w:numPr>
          <w:ilvl w:val="0"/>
          <w:numId w:val="2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así se indica en la Subcláusula 1.1 de las IAO, el Llamado a Licitación será por ofertas para contratos individuales (lotes) o para combinación de contratos (grupos). A menos que se indique lo contrario en los </w:t>
      </w:r>
      <w:r>
        <w:rPr>
          <w:rFonts w:asciiTheme="minorHAnsi" w:hAnsiTheme="minorHAnsi" w:cstheme="minorHAnsi"/>
          <w:b/>
          <w:sz w:val="20"/>
          <w:szCs w:val="20"/>
          <w:lang w:val="es-EC"/>
        </w:rPr>
        <w:t>DDL</w:t>
      </w:r>
      <w:r>
        <w:rPr>
          <w:rFonts w:asciiTheme="minorHAnsi" w:hAnsiTheme="minorHAnsi" w:cstheme="minorHAnsi"/>
          <w:sz w:val="20"/>
          <w:szCs w:val="20"/>
          <w:lang w:val="es-EC"/>
        </w:rPr>
        <w:t>, los precios cotizados deberán corresponder al 100% de los artículos indicados en cada lote y al 100% de las cantidades indicadas para cada artículo de un lote. Los Oferentes que deseen ofrecer reducción de precios (descuentos) por la adjudicación de más de un Contrato deberán indicar en su oferta los descuentos aplicables  de conformidad con la Subcláusula 14.4 de las IAO, siempre y cuando las ofertas por todos los lotes sean presentadas y abiertas al mismo tiempo</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76" w:name="_Toc438438836"/>
      <w:bookmarkStart w:id="77" w:name="_Toc438532597"/>
      <w:bookmarkStart w:id="78" w:name="_Toc438733980"/>
      <w:bookmarkStart w:id="79" w:name="_Toc438907019"/>
      <w:bookmarkStart w:id="80" w:name="_Toc438907218"/>
      <w:bookmarkStart w:id="81" w:name="_Toc106180662"/>
      <w:bookmarkStart w:id="82" w:name="_Toc317173218"/>
      <w:bookmarkStart w:id="83" w:name="_Toc478103431"/>
      <w:r>
        <w:rPr>
          <w:rFonts w:asciiTheme="minorHAnsi" w:hAnsiTheme="minorHAnsi" w:cstheme="minorHAnsi"/>
          <w:b/>
          <w:sz w:val="20"/>
          <w:szCs w:val="20"/>
          <w:lang w:val="es-EC"/>
        </w:rPr>
        <w:t>Moneda de la Oferta</w:t>
      </w:r>
      <w:bookmarkEnd w:id="76"/>
      <w:bookmarkEnd w:id="77"/>
      <w:bookmarkEnd w:id="78"/>
      <w:bookmarkEnd w:id="79"/>
      <w:bookmarkEnd w:id="80"/>
      <w:bookmarkEnd w:id="81"/>
      <w:bookmarkEnd w:id="82"/>
      <w:bookmarkEnd w:id="83"/>
    </w:p>
    <w:p>
      <w:pPr>
        <w:numPr>
          <w:ilvl w:val="0"/>
          <w:numId w:val="2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Oferente cotizará en la moneda del país del Comprador la porción de la oferta correspondiente a gastos adquiridos en el país del Comprador, a menos que se indique lo contrario en los </w:t>
      </w:r>
      <w:r>
        <w:rPr>
          <w:rFonts w:asciiTheme="minorHAnsi" w:hAnsiTheme="minorHAnsi" w:cstheme="minorHAnsi"/>
          <w:b/>
          <w:sz w:val="20"/>
          <w:szCs w:val="20"/>
          <w:lang w:val="es-EC"/>
        </w:rPr>
        <w:t>DDL</w:t>
      </w:r>
      <w:r>
        <w:rPr>
          <w:rFonts w:asciiTheme="minorHAnsi" w:hAnsiTheme="minorHAnsi" w:cstheme="minorHAnsi"/>
          <w:sz w:val="20"/>
          <w:szCs w:val="20"/>
          <w:lang w:val="es-EC"/>
        </w:rPr>
        <w:t>.</w:t>
      </w:r>
    </w:p>
    <w:p>
      <w:pPr>
        <w:numPr>
          <w:ilvl w:val="0"/>
          <w:numId w:val="2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Los Oferentes podrán expresar el precio de su oferta en cualquier moneda plenamente convertible. Los Oferentes que deseen que se les pague en varios tipos de monedas, deberán cotizar su oferta en estos tipos de monedas pero no podrán emplear más de tres monedas además de la del país del Comprador.</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84" w:name="_Toc106180663"/>
      <w:bookmarkStart w:id="85" w:name="_Toc317173219"/>
      <w:bookmarkStart w:id="86" w:name="_Toc478103432"/>
      <w:bookmarkStart w:id="87" w:name="_Toc438438837"/>
      <w:bookmarkStart w:id="88" w:name="_Toc438532598"/>
      <w:bookmarkStart w:id="89" w:name="_Toc438733981"/>
      <w:bookmarkStart w:id="90" w:name="_Toc438907020"/>
      <w:bookmarkStart w:id="91" w:name="_Toc438907219"/>
      <w:r>
        <w:rPr>
          <w:rFonts w:asciiTheme="minorHAnsi" w:hAnsiTheme="minorHAnsi" w:cstheme="minorHAnsi"/>
          <w:b/>
          <w:sz w:val="20"/>
          <w:szCs w:val="20"/>
          <w:lang w:val="es-EC"/>
        </w:rPr>
        <w:t xml:space="preserve">Documentos </w:t>
      </w:r>
      <w:bookmarkStart w:id="92" w:name="_Hlt438531760"/>
      <w:bookmarkEnd w:id="92"/>
      <w:r>
        <w:rPr>
          <w:rFonts w:asciiTheme="minorHAnsi" w:hAnsiTheme="minorHAnsi" w:cstheme="minorHAnsi"/>
          <w:b/>
          <w:sz w:val="20"/>
          <w:szCs w:val="20"/>
          <w:lang w:val="es-EC"/>
        </w:rPr>
        <w:t>que Establecen la Elegibilidad del Oferente</w:t>
      </w:r>
      <w:bookmarkEnd w:id="84"/>
      <w:bookmarkEnd w:id="85"/>
      <w:bookmarkEnd w:id="86"/>
      <w:bookmarkEnd w:id="87"/>
      <w:bookmarkEnd w:id="88"/>
      <w:bookmarkEnd w:id="89"/>
      <w:bookmarkEnd w:id="90"/>
      <w:bookmarkEnd w:id="91"/>
    </w:p>
    <w:p>
      <w:pPr>
        <w:numPr>
          <w:ilvl w:val="0"/>
          <w:numId w:val="2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Para establecer su elegibilidad, de conformidad con la Cláusula 4 de las IAO, los Oferentes deberán completar el Formulario de Oferta, incluido en la Sección IV, Formularios de la Oferta.</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93" w:name="_Toc106180664"/>
      <w:bookmarkStart w:id="94" w:name="_Toc317173220"/>
      <w:bookmarkStart w:id="95" w:name="_Toc478103433"/>
      <w:r>
        <w:rPr>
          <w:rFonts w:asciiTheme="minorHAnsi" w:hAnsiTheme="minorHAnsi" w:cstheme="minorHAnsi"/>
          <w:b/>
          <w:sz w:val="20"/>
          <w:szCs w:val="20"/>
          <w:lang w:val="es-EC"/>
        </w:rPr>
        <w:t>Documentos que Establecen la Elegibilidad de los Bienes y Servicios Conexos</w:t>
      </w:r>
      <w:bookmarkEnd w:id="93"/>
      <w:bookmarkEnd w:id="94"/>
      <w:bookmarkEnd w:id="95"/>
    </w:p>
    <w:p>
      <w:pPr>
        <w:numPr>
          <w:ilvl w:val="0"/>
          <w:numId w:val="30"/>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Con el fin de establecer la elegibilidad de los Bienes y Servicios Conexos, de conformidad con la Cláusula 5 de las IAO, los Oferentes deberán completar las declaraciones de país de origen en los Formularios de Lista de Precios, incluidos en la Sección IV, Formularios de la Oferta.</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96" w:name="_Toc438907221"/>
      <w:bookmarkStart w:id="97" w:name="_Toc438907022"/>
      <w:bookmarkStart w:id="98" w:name="_Toc438733983"/>
      <w:bookmarkStart w:id="99" w:name="_Toc438532600"/>
      <w:bookmarkStart w:id="100" w:name="_Toc438438839"/>
      <w:bookmarkStart w:id="101" w:name="_Toc106180665"/>
      <w:bookmarkStart w:id="102" w:name="_Toc317173221"/>
      <w:bookmarkStart w:id="103" w:name="_Toc478103434"/>
      <w:r>
        <w:rPr>
          <w:rFonts w:asciiTheme="minorHAnsi" w:hAnsiTheme="minorHAnsi" w:cstheme="minorHAnsi"/>
          <w:b/>
          <w:sz w:val="20"/>
          <w:szCs w:val="20"/>
          <w:lang w:val="es-EC"/>
        </w:rPr>
        <w:t>Documentos que Establecen la Conformidad de los Bienes y Servicios Conexos</w:t>
      </w:r>
      <w:bookmarkEnd w:id="96"/>
      <w:bookmarkEnd w:id="97"/>
      <w:bookmarkEnd w:id="98"/>
      <w:bookmarkEnd w:id="99"/>
      <w:bookmarkEnd w:id="100"/>
      <w:bookmarkEnd w:id="101"/>
      <w:bookmarkEnd w:id="102"/>
      <w:bookmarkEnd w:id="103"/>
    </w:p>
    <w:p>
      <w:pPr>
        <w:numPr>
          <w:ilvl w:val="0"/>
          <w:numId w:val="3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Con el fin de establecer la conformidad de los Bienes y Servicios Conexos, los Oferentes deberán proporcionar como parte de la oferta evidencia documentada acreditando que los Bienes cumplen con las especificaciones técnicas y los estándares especificados en la Sección VI, Requisitos de los Bienes y Servicios.</w:t>
      </w:r>
    </w:p>
    <w:p>
      <w:pPr>
        <w:numPr>
          <w:ilvl w:val="0"/>
          <w:numId w:val="3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 evidencia documentada puede ser en forma de literatura impresa, planos o datos, y deberá incluir una descripción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pPr>
        <w:numPr>
          <w:ilvl w:val="0"/>
          <w:numId w:val="3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Oferentes también deberán proporcionar una lista detallada que incluya disponibilidad y precios actuales de repuestos, herramientas especiales, etc. necesarias para el adecuado y continuo funcionamiento de los bienes durante el período indicado en los DDL, a partir del inicio de la utilización de los bienes por el Comprador. </w:t>
      </w:r>
    </w:p>
    <w:p>
      <w:pPr>
        <w:numPr>
          <w:ilvl w:val="0"/>
          <w:numId w:val="3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Las normas de fabricación, procesamiento, material y equipo así como las referencias a marcas o números de catálogos que haya incluido el Comprador en los Requisitos de los 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104" w:name="_Toc438438840"/>
      <w:bookmarkStart w:id="105" w:name="_Toc438532603"/>
      <w:bookmarkStart w:id="106" w:name="_Toc438733984"/>
      <w:bookmarkStart w:id="107" w:name="_Toc438907023"/>
      <w:bookmarkStart w:id="108" w:name="_Toc438907222"/>
      <w:bookmarkStart w:id="109" w:name="_Toc106180666"/>
      <w:bookmarkStart w:id="110" w:name="_Toc317173222"/>
      <w:bookmarkStart w:id="111" w:name="_Toc478103435"/>
      <w:r>
        <w:rPr>
          <w:rFonts w:asciiTheme="minorHAnsi" w:hAnsiTheme="minorHAnsi" w:cstheme="minorHAnsi"/>
          <w:b/>
          <w:sz w:val="20"/>
          <w:szCs w:val="20"/>
          <w:lang w:val="es-EC"/>
        </w:rPr>
        <w:t>Documentos que Establecen las Calificaciones del Oferente</w:t>
      </w:r>
      <w:bookmarkEnd w:id="104"/>
      <w:bookmarkEnd w:id="105"/>
      <w:bookmarkEnd w:id="106"/>
      <w:bookmarkEnd w:id="107"/>
      <w:bookmarkEnd w:id="108"/>
      <w:bookmarkEnd w:id="109"/>
      <w:bookmarkEnd w:id="110"/>
      <w:bookmarkEnd w:id="111"/>
    </w:p>
    <w:p>
      <w:pPr>
        <w:numPr>
          <w:ilvl w:val="0"/>
          <w:numId w:val="3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 evidencia documentada de las calificaciones del Oferente para ejecutar el Contrato si su oferta es aceptada, deberá establecer a completa satisfacción del Comprador: </w:t>
      </w:r>
    </w:p>
    <w:p>
      <w:pPr>
        <w:numPr>
          <w:ilvl w:val="0"/>
          <w:numId w:val="33"/>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que, </w:t>
      </w:r>
      <w:r>
        <w:rPr>
          <w:rFonts w:asciiTheme="minorHAnsi" w:hAnsiTheme="minorHAnsi" w:cstheme="minorHAnsi"/>
          <w:b/>
          <w:sz w:val="20"/>
          <w:szCs w:val="20"/>
          <w:lang w:val="es-EC"/>
        </w:rPr>
        <w:t>si se requiere en los DDL</w:t>
      </w:r>
      <w:r>
        <w:rPr>
          <w:rFonts w:asciiTheme="minorHAnsi" w:hAnsiTheme="minorHAnsi" w:cstheme="minorHAnsi"/>
          <w:sz w:val="20"/>
          <w:szCs w:val="20"/>
          <w:lang w:val="es-EC"/>
        </w:rPr>
        <w:t>, el Oferente que no fábrica o produce los bienes que propone proveer deberá presentar una Autorización del Fabricante mediante el formulario incluido en la Sección IV, Formularios de la Oferta para demostrar que ha sido debidamente autorizado por el fabricante o productor de los Bienes para suministrarlos en el país del Comprador</w:t>
      </w:r>
      <w:r>
        <w:rPr>
          <w:rFonts w:eastAsia="Times New Roman" w:asciiTheme="minorHAnsi" w:hAnsiTheme="minorHAnsi" w:cstheme="minorHAnsi"/>
          <w:sz w:val="20"/>
          <w:szCs w:val="20"/>
          <w:lang w:val="es-EC"/>
        </w:rPr>
        <w:t>;</w:t>
      </w:r>
    </w:p>
    <w:p>
      <w:pPr>
        <w:numPr>
          <w:ilvl w:val="0"/>
          <w:numId w:val="33"/>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que, </w:t>
      </w:r>
      <w:r>
        <w:rPr>
          <w:rFonts w:asciiTheme="minorHAnsi" w:hAnsiTheme="minorHAnsi" w:cstheme="minorHAnsi"/>
          <w:b/>
          <w:sz w:val="20"/>
          <w:szCs w:val="20"/>
          <w:lang w:val="es-EC"/>
        </w:rPr>
        <w:t>si se requiere en los DDL,</w:t>
      </w:r>
      <w:r>
        <w:rPr>
          <w:rFonts w:asciiTheme="minorHAnsi" w:hAnsiTheme="minorHAnsi" w:cstheme="minorHAnsi"/>
          <w:sz w:val="20"/>
          <w:szCs w:val="20"/>
          <w:lang w:val="es-EC"/>
        </w:rPr>
        <w:t xml:space="preserve"> en el caso de un Oferente que no está establecido comercialmente en el país del Comprador, el Oferente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pPr>
        <w:numPr>
          <w:ilvl w:val="0"/>
          <w:numId w:val="33"/>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que el Oferente cumple con cada uno de los criterios de calificación estipulados en la Sección III, Criterios de Evaluación y Calificación</w:t>
      </w:r>
      <w:r>
        <w:rPr>
          <w:rFonts w:eastAsia="Times New Roman" w:asciiTheme="minorHAnsi" w:hAnsiTheme="minorHAnsi" w:cstheme="minorHAnsi"/>
          <w:sz w:val="20"/>
          <w:szCs w:val="20"/>
          <w:lang w:val="es-EC"/>
        </w:rPr>
        <w:t>.</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112" w:name="_Toc438907223"/>
      <w:bookmarkStart w:id="113" w:name="_Toc478103436"/>
      <w:bookmarkStart w:id="114" w:name="_Toc317173223"/>
      <w:bookmarkStart w:id="115" w:name="_Toc106180667"/>
      <w:bookmarkStart w:id="116" w:name="_Toc438438841"/>
      <w:bookmarkStart w:id="117" w:name="_Toc438532604"/>
      <w:bookmarkStart w:id="118" w:name="_Toc438733985"/>
      <w:bookmarkStart w:id="119" w:name="_Toc438907024"/>
      <w:r>
        <w:rPr>
          <w:rFonts w:asciiTheme="minorHAnsi" w:hAnsiTheme="minorHAnsi" w:cstheme="minorHAnsi"/>
          <w:b/>
          <w:sz w:val="20"/>
          <w:szCs w:val="20"/>
          <w:lang w:val="es-EC"/>
        </w:rPr>
        <w:t>Periodo de Validez de las Ofertas</w:t>
      </w:r>
      <w:bookmarkEnd w:id="112"/>
      <w:bookmarkEnd w:id="113"/>
      <w:bookmarkEnd w:id="114"/>
      <w:bookmarkEnd w:id="115"/>
      <w:bookmarkEnd w:id="116"/>
      <w:bookmarkEnd w:id="117"/>
      <w:bookmarkEnd w:id="118"/>
      <w:bookmarkEnd w:id="119"/>
    </w:p>
    <w:p>
      <w:pPr>
        <w:numPr>
          <w:ilvl w:val="0"/>
          <w:numId w:val="34"/>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Las ofertas se deberán mantener válidas por el período </w:t>
      </w:r>
      <w:r>
        <w:rPr>
          <w:rFonts w:asciiTheme="minorHAnsi" w:hAnsiTheme="minorHAnsi" w:cstheme="minorHAnsi"/>
          <w:b/>
          <w:sz w:val="20"/>
          <w:szCs w:val="20"/>
          <w:lang w:val="es-EC"/>
        </w:rPr>
        <w:t>especificado en los DDL</w:t>
      </w:r>
      <w:r>
        <w:rPr>
          <w:rFonts w:asciiTheme="minorHAnsi" w:hAnsiTheme="minorHAnsi" w:cstheme="minorHAnsi"/>
          <w:sz w:val="20"/>
          <w:szCs w:val="20"/>
          <w:lang w:val="es-EC"/>
        </w:rPr>
        <w:t xml:space="preserve"> a partir de la fecha límite para la presentación de ofertas establecida por el Comprador. Toda oferta con un período de validez menor será rechazada por el Comprador por incumplimiento.</w:t>
      </w:r>
    </w:p>
    <w:p>
      <w:pPr>
        <w:numPr>
          <w:ilvl w:val="0"/>
          <w:numId w:val="34"/>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En circunstancias excepcionales y antes de que expire el período de validez de la oferta, el Comprador podrá solicitarle a los Oferentes que extiendan el período de la validez de sus ofertas. Las solicitudes y las respuestas deberán hacerse  por escrito. Si se hubiese solicitado una Garantía de Mantenimiento de Oferta, de acuerdo a la Cláusula 21 de las IAO, también ésta deberá prorrogarse por el período correspondiente. Un Oferente puede rehusar a tal solicitud sin que se le haga efectiva su Garantía de  la Oferta. Al Oferente que acepte la solicitud de prórroga no se le pedirá ni permitirá modificar su oferta, con excepción de lo dispuesto en la Subcláusula 20.3 de las IAO.</w:t>
      </w:r>
    </w:p>
    <w:p>
      <w:pPr>
        <w:numPr>
          <w:ilvl w:val="0"/>
          <w:numId w:val="34"/>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En el caso de contratos con precio fijo, si la adjudicación se retrasase por un período mayor a cincuenta y seis (56) días a partir del vencimiento del plazo inicial de validez de la oferta, el precio del Contrato será ajustado según lo especificado en la solicitud de prórroga. La evaluación de la oferta deberá basarse en el precio cotizado sin tomar en cuenta el ajuste mencionado.</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120" w:name="_Toc438438842"/>
      <w:bookmarkStart w:id="121" w:name="_Toc438532605"/>
      <w:bookmarkStart w:id="122" w:name="_Toc438733986"/>
      <w:bookmarkStart w:id="123" w:name="_Toc438907025"/>
      <w:bookmarkStart w:id="124" w:name="_Toc438907224"/>
      <w:bookmarkStart w:id="125" w:name="_Toc106180668"/>
      <w:bookmarkStart w:id="126" w:name="_Toc317173224"/>
      <w:bookmarkStart w:id="127" w:name="_Toc478103437"/>
      <w:r>
        <w:rPr>
          <w:rFonts w:asciiTheme="minorHAnsi" w:hAnsiTheme="minorHAnsi" w:cstheme="minorHAnsi"/>
          <w:b/>
          <w:sz w:val="20"/>
          <w:szCs w:val="20"/>
          <w:lang w:val="es-EC"/>
        </w:rPr>
        <w:t>Garantía de Mantenimiento de Oferta</w:t>
      </w:r>
      <w:bookmarkEnd w:id="120"/>
      <w:bookmarkEnd w:id="121"/>
      <w:bookmarkEnd w:id="122"/>
      <w:bookmarkEnd w:id="123"/>
      <w:bookmarkEnd w:id="124"/>
      <w:bookmarkEnd w:id="125"/>
      <w:bookmarkEnd w:id="126"/>
      <w:bookmarkEnd w:id="127"/>
    </w:p>
    <w:p>
      <w:pPr>
        <w:numPr>
          <w:ilvl w:val="0"/>
          <w:numId w:val="3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Oferente deberá presentar como parte de su oferta una Garantía de Mantenimiento de la Oferta o una Declaración de Mantenimiento de la Oferta, si así se estipula en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w:t>
      </w:r>
    </w:p>
    <w:p>
      <w:pPr>
        <w:numPr>
          <w:ilvl w:val="0"/>
          <w:numId w:val="3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 Garantía de Mantenimiento de la Oferta deberá expedirse por la cantidad </w:t>
      </w:r>
      <w:r>
        <w:rPr>
          <w:rFonts w:asciiTheme="minorHAnsi" w:hAnsiTheme="minorHAnsi" w:cstheme="minorHAnsi"/>
          <w:b/>
          <w:sz w:val="20"/>
          <w:szCs w:val="20"/>
          <w:lang w:val="es-EC"/>
        </w:rPr>
        <w:t xml:space="preserve">especificada en los DDL </w:t>
      </w:r>
      <w:r>
        <w:rPr>
          <w:rFonts w:asciiTheme="minorHAnsi" w:hAnsiTheme="minorHAnsi" w:cstheme="minorHAnsi"/>
          <w:sz w:val="20"/>
          <w:szCs w:val="20"/>
          <w:lang w:val="es-EC"/>
        </w:rPr>
        <w:t>y en la moneda del país del Comprador o en una moneda de libre convertibilidad, y deberá:</w:t>
      </w:r>
    </w:p>
    <w:p>
      <w:pPr>
        <w:numPr>
          <w:ilvl w:val="0"/>
          <w:numId w:val="36"/>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a opción del Oferente, adoptar la forma de una carta de crédito, o una garantía bancaria emitida por una institución bancaria, o una fianza emitida por una aseguradora</w:t>
      </w:r>
      <w:r>
        <w:rPr>
          <w:rFonts w:eastAsia="Times New Roman" w:asciiTheme="minorHAnsi" w:hAnsiTheme="minorHAnsi" w:cstheme="minorHAnsi"/>
          <w:sz w:val="20"/>
          <w:szCs w:val="20"/>
          <w:lang w:val="es-EC"/>
        </w:rPr>
        <w:t xml:space="preserve">; </w:t>
      </w:r>
    </w:p>
    <w:p>
      <w:pPr>
        <w:numPr>
          <w:ilvl w:val="0"/>
          <w:numId w:val="36"/>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ser emitida por una institución de prestigio seleccionada por el Oferente y ubicada en un país elegible. Si la institución que emite la garantía está localizada fuera del país del Comprador, deberá tener una sucursal financiera en el país del Comprador que permita hacer efectiva la garantía;</w:t>
      </w:r>
    </w:p>
    <w:p>
      <w:pPr>
        <w:numPr>
          <w:ilvl w:val="0"/>
          <w:numId w:val="36"/>
        </w:numPr>
        <w:spacing w:before="60" w:after="60" w:line="240" w:lineRule="auto"/>
        <w:ind w:left="1620"/>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estar sustancialmente de acuerdo con alguno de los formularios de la Garantía de Mantenimiento de Oferta incluidos en la Sección IV, Formularios de la Oferta, u otro formulario aprobado por el Comprador con anterioridad a la presentación de la oferta;</w:t>
      </w:r>
    </w:p>
    <w:p>
      <w:pPr>
        <w:numPr>
          <w:ilvl w:val="0"/>
          <w:numId w:val="36"/>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ser pagadera a la vista ante solicitud escrita del Comprador en caso de tener que invocar las condiciones detalladas en la Cláusula 21.5 de las IAO</w:t>
      </w:r>
      <w:r>
        <w:rPr>
          <w:rFonts w:eastAsia="Times New Roman" w:asciiTheme="minorHAnsi" w:hAnsiTheme="minorHAnsi" w:cstheme="minorHAnsi"/>
          <w:sz w:val="20"/>
          <w:szCs w:val="20"/>
          <w:lang w:val="es-EC"/>
        </w:rPr>
        <w:t>;</w:t>
      </w:r>
    </w:p>
    <w:p>
      <w:pPr>
        <w:numPr>
          <w:ilvl w:val="0"/>
          <w:numId w:val="36"/>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ser presentada en original; no se aceptarán copias</w:t>
      </w:r>
      <w:r>
        <w:rPr>
          <w:rFonts w:eastAsia="Times New Roman" w:asciiTheme="minorHAnsi" w:hAnsiTheme="minorHAnsi" w:cstheme="minorHAnsi"/>
          <w:sz w:val="20"/>
          <w:szCs w:val="20"/>
          <w:lang w:val="es-EC"/>
        </w:rPr>
        <w:t>;</w:t>
      </w:r>
    </w:p>
    <w:p>
      <w:pPr>
        <w:numPr>
          <w:ilvl w:val="0"/>
          <w:numId w:val="36"/>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permanecer válida por un período de 28 días posteriores a la fecha límite de la validez de las ofertas, o del período prorrogado, si corresponde, de conformidad con la Cláusula 20.2 de las IAO</w:t>
      </w:r>
      <w:r>
        <w:rPr>
          <w:rFonts w:eastAsia="Times New Roman" w:asciiTheme="minorHAnsi" w:hAnsiTheme="minorHAnsi" w:cstheme="minorHAnsi"/>
          <w:sz w:val="20"/>
          <w:szCs w:val="20"/>
          <w:lang w:val="es-EC"/>
        </w:rPr>
        <w:t xml:space="preserve">;  </w:t>
      </w:r>
    </w:p>
    <w:p>
      <w:pPr>
        <w:numPr>
          <w:ilvl w:val="0"/>
          <w:numId w:val="3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 la Subcláusula 21.1 de las IAO exige una Garantía de Mantenimiento de la Oferta o una Declaración de Mantenimiento de la Oferta, todas las ofertas que no estén acompañadas por una Garantía que sustancialmente responda a lo requerido en la cláusula mencionada, serán rechazadas por el Comprador por incumplimiento.</w:t>
      </w:r>
    </w:p>
    <w:p>
      <w:pPr>
        <w:numPr>
          <w:ilvl w:val="0"/>
          <w:numId w:val="3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 Garantía de Mantenimiento de la Oferta de los Oferentes cuyas ofertas no fueron seleccionadas serán devueltas tan pronto como sea posible una vez que el Oferente adjudicado haya suministrado su Garantía de Cumplimiento, de conformidad con la Cláusula 44 de las IAO.</w:t>
      </w:r>
    </w:p>
    <w:p>
      <w:pPr>
        <w:numPr>
          <w:ilvl w:val="0"/>
          <w:numId w:val="3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 Garantía de Mantenimiento de la Oferta se podrá hacer efectiva o la Declaración de Mantenimiento de la Oferta se podrá ejecutar si:</w:t>
      </w:r>
    </w:p>
    <w:p>
      <w:pPr>
        <w:numPr>
          <w:ilvl w:val="0"/>
          <w:numId w:val="37"/>
        </w:numPr>
        <w:spacing w:before="60" w:after="60" w:line="240" w:lineRule="auto"/>
        <w:ind w:left="1620"/>
        <w:jc w:val="both"/>
        <w:rPr>
          <w:rFonts w:eastAsia="Times New Roman" w:asciiTheme="minorHAnsi" w:hAnsiTheme="minorHAnsi" w:cstheme="minorHAnsi"/>
          <w:sz w:val="20"/>
          <w:szCs w:val="20"/>
          <w:lang w:val="es-EC"/>
        </w:rPr>
      </w:pPr>
      <w:bookmarkStart w:id="128" w:name="_Toc438267890"/>
      <w:r>
        <w:rPr>
          <w:rFonts w:asciiTheme="minorHAnsi" w:hAnsiTheme="minorHAnsi" w:cstheme="minorHAnsi"/>
          <w:sz w:val="20"/>
          <w:szCs w:val="20"/>
          <w:lang w:val="es-EC"/>
        </w:rPr>
        <w:t>un Oferente retira su oferta durante el período de validez de la oferta especificado por el Oferente en el Formulario de Oferta, salvo a lo estipulado en la Subcláusula 20.2 de las IAO; o</w:t>
      </w:r>
      <w:r>
        <w:rPr>
          <w:rFonts w:eastAsia="Times New Roman" w:asciiTheme="minorHAnsi" w:hAnsiTheme="minorHAnsi" w:cstheme="minorHAnsi"/>
          <w:sz w:val="20"/>
          <w:szCs w:val="20"/>
          <w:lang w:val="es-EC"/>
        </w:rPr>
        <w:t>;</w:t>
      </w:r>
      <w:bookmarkEnd w:id="128"/>
    </w:p>
    <w:p>
      <w:pPr>
        <w:numPr>
          <w:ilvl w:val="0"/>
          <w:numId w:val="37"/>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si el Oferente seleccionado no</w:t>
      </w:r>
      <w:r>
        <w:rPr>
          <w:rFonts w:eastAsia="Times New Roman" w:asciiTheme="minorHAnsi" w:hAnsiTheme="minorHAnsi" w:cstheme="minorHAnsi"/>
          <w:sz w:val="20"/>
          <w:szCs w:val="20"/>
          <w:lang w:val="es-EC"/>
        </w:rPr>
        <w:t>:</w:t>
      </w:r>
      <w:bookmarkStart w:id="129" w:name="_Toc438267892"/>
      <w:bookmarkEnd w:id="129"/>
    </w:p>
    <w:p>
      <w:pPr>
        <w:pStyle w:val="64"/>
        <w:numPr>
          <w:ilvl w:val="0"/>
          <w:numId w:val="38"/>
        </w:numPr>
        <w:spacing w:before="60" w:after="60" w:line="240" w:lineRule="auto"/>
        <w:ind w:left="1980"/>
        <w:contextualSpacing w:val="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firma el Contrato de conformidad con la Cláusula 43 de las IAO</w:t>
      </w:r>
      <w:r>
        <w:rPr>
          <w:rFonts w:eastAsia="Times New Roman" w:asciiTheme="minorHAnsi" w:hAnsiTheme="minorHAnsi" w:cstheme="minorHAnsi"/>
          <w:sz w:val="20"/>
          <w:szCs w:val="20"/>
          <w:lang w:val="es-EC"/>
        </w:rPr>
        <w:t xml:space="preserve">; </w:t>
      </w:r>
    </w:p>
    <w:p>
      <w:pPr>
        <w:pStyle w:val="64"/>
        <w:numPr>
          <w:ilvl w:val="0"/>
          <w:numId w:val="38"/>
        </w:numPr>
        <w:spacing w:before="60" w:after="60" w:line="240" w:lineRule="auto"/>
        <w:ind w:left="1980"/>
        <w:contextualSpacing w:val="0"/>
        <w:jc w:val="both"/>
        <w:rPr>
          <w:rFonts w:eastAsia="Times New Roman" w:asciiTheme="minorHAnsi" w:hAnsiTheme="minorHAnsi" w:cstheme="minorHAnsi"/>
          <w:sz w:val="20"/>
          <w:szCs w:val="20"/>
          <w:lang w:val="es-EC"/>
        </w:rPr>
      </w:pPr>
      <w:bookmarkStart w:id="130" w:name="_Toc438267893"/>
      <w:r>
        <w:rPr>
          <w:rFonts w:asciiTheme="minorHAnsi" w:hAnsiTheme="minorHAnsi" w:cstheme="minorHAnsi"/>
          <w:sz w:val="20"/>
          <w:szCs w:val="20"/>
          <w:lang w:val="es-EC"/>
        </w:rPr>
        <w:t>suministra la Garantía de Cumplimiento de conformidad con la Cláusula 44 de las IAO</w:t>
      </w:r>
      <w:r>
        <w:rPr>
          <w:rFonts w:eastAsia="Times New Roman" w:asciiTheme="minorHAnsi" w:hAnsiTheme="minorHAnsi" w:cstheme="minorHAnsi"/>
          <w:sz w:val="20"/>
          <w:szCs w:val="20"/>
          <w:lang w:val="es-EC"/>
        </w:rPr>
        <w:t>.</w:t>
      </w:r>
      <w:bookmarkEnd w:id="130"/>
      <w:bookmarkStart w:id="131" w:name="_Toc438267894"/>
    </w:p>
    <w:bookmarkEnd w:id="131"/>
    <w:p>
      <w:pPr>
        <w:numPr>
          <w:ilvl w:val="0"/>
          <w:numId w:val="3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 Garantía de Mantenimiento de la Oferta o la Declaración de Mantenimiento de la Oferta de una Asociación en Participación o Consorcio deberá ser emitido en nombre de la Asociación en Participación o Consorcio que presenta la oferta. Si dicha Asociación o Consorcio no ha sido legalmente constituido en el momento de presentar la oferta, la Garantía de Mantenimiento de la Oferta o la Declaración de Mantenimiento de la Oferta deberá ser emitida en nombre de todos los futuros socios de la Asociación o Consorcio tal como se denominan en la carta de intención mencionada en el subpárrafo 7 del Formulario de Información sobre el Oferente, incluido en la Sección IV, Formularios de la Oferta.</w:t>
      </w:r>
    </w:p>
    <w:p>
      <w:pPr>
        <w:numPr>
          <w:ilvl w:val="0"/>
          <w:numId w:val="3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en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no se exige una Garantía de Mantenimiento de Oferta, y</w:t>
      </w:r>
    </w:p>
    <w:p>
      <w:pPr>
        <w:numPr>
          <w:ilvl w:val="0"/>
          <w:numId w:val="39"/>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un Oferente retira su Oferta durante el período de tiempo de validez señalado por él en la Carta de la Oferta, con excepción de lo dispuesto en la Subcláusula 20.2 de las IAO o</w:t>
      </w:r>
    </w:p>
    <w:p>
      <w:pPr>
        <w:numPr>
          <w:ilvl w:val="0"/>
          <w:numId w:val="39"/>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el Oferente seleccionado no firma el Contrato de conformidad con la Cláusula 43 de las IAO, o no suministra la Garantía de Cumplimiento de conformidad con la Cláusula 44 de las IAO; el Prestatario podrá,</w:t>
      </w:r>
      <w:r>
        <w:rPr>
          <w:rFonts w:asciiTheme="minorHAnsi" w:hAnsiTheme="minorHAnsi" w:cstheme="minorHAnsi"/>
          <w:b/>
          <w:bCs/>
          <w:sz w:val="20"/>
          <w:szCs w:val="20"/>
          <w:lang w:val="es-EC"/>
        </w:rPr>
        <w:t xml:space="preserve"> si así se dispone en los DDL, </w:t>
      </w:r>
      <w:r>
        <w:rPr>
          <w:rFonts w:asciiTheme="minorHAnsi" w:hAnsiTheme="minorHAnsi" w:cstheme="minorHAnsi"/>
          <w:sz w:val="20"/>
          <w:szCs w:val="20"/>
          <w:lang w:val="es-EC"/>
        </w:rPr>
        <w:t xml:space="preserve">declarar al Oferente no elegible para la adjudicación de un contrato por parte del Contratante durante el período </w:t>
      </w:r>
      <w:r>
        <w:rPr>
          <w:rFonts w:asciiTheme="minorHAnsi" w:hAnsiTheme="minorHAnsi" w:cstheme="minorHAnsi"/>
          <w:bCs/>
          <w:sz w:val="20"/>
          <w:szCs w:val="20"/>
          <w:lang w:val="es-EC"/>
        </w:rPr>
        <w:t>que</w:t>
      </w:r>
      <w:r>
        <w:rPr>
          <w:rFonts w:asciiTheme="minorHAnsi" w:hAnsiTheme="minorHAnsi" w:cstheme="minorHAnsi"/>
          <w:b/>
          <w:bCs/>
          <w:sz w:val="20"/>
          <w:szCs w:val="20"/>
          <w:lang w:val="es-EC"/>
        </w:rPr>
        <w:t xml:space="preserve"> se estipule en </w:t>
      </w:r>
      <w:r>
        <w:rPr>
          <w:rFonts w:asciiTheme="minorHAnsi" w:hAnsiTheme="minorHAnsi" w:cstheme="minorHAnsi"/>
          <w:b/>
          <w:sz w:val="20"/>
          <w:szCs w:val="20"/>
          <w:lang w:val="es-EC"/>
        </w:rPr>
        <w:t>los DDL</w:t>
      </w:r>
      <w:r>
        <w:rPr>
          <w:rFonts w:asciiTheme="minorHAnsi" w:hAnsiTheme="minorHAnsi" w:cstheme="minorHAnsi"/>
          <w:sz w:val="20"/>
          <w:szCs w:val="20"/>
          <w:lang w:val="es-EC"/>
        </w:rPr>
        <w:t>.</w:t>
      </w:r>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132" w:name="_Toc478103438"/>
      <w:r>
        <w:rPr>
          <w:rFonts w:asciiTheme="minorHAnsi" w:hAnsiTheme="minorHAnsi" w:cstheme="minorHAnsi"/>
          <w:b/>
          <w:sz w:val="20"/>
          <w:szCs w:val="20"/>
          <w:lang w:val="es-EC"/>
        </w:rPr>
        <w:t>Formato y Firma de la Oferta</w:t>
      </w:r>
      <w:bookmarkEnd w:id="132"/>
    </w:p>
    <w:p>
      <w:pPr>
        <w:numPr>
          <w:ilvl w:val="0"/>
          <w:numId w:val="4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Oferente preparará un original de los documentos que comprenden la oferta según se describe en la Cláusula 11 de las IAO y lo marcará claramente como “ORIGINAL”. Además el Oferente deberá presentar el número de copias de la oferta que </w:t>
      </w:r>
      <w:r>
        <w:rPr>
          <w:rFonts w:asciiTheme="minorHAnsi" w:hAnsiTheme="minorHAnsi" w:cstheme="minorHAnsi"/>
          <w:b/>
          <w:sz w:val="20"/>
          <w:szCs w:val="20"/>
          <w:lang w:val="es-EC"/>
        </w:rPr>
        <w:t>se indica en los DDL</w:t>
      </w:r>
      <w:r>
        <w:rPr>
          <w:rFonts w:asciiTheme="minorHAnsi" w:hAnsiTheme="minorHAnsi" w:cstheme="minorHAnsi"/>
          <w:sz w:val="20"/>
          <w:szCs w:val="20"/>
          <w:lang w:val="es-EC"/>
        </w:rPr>
        <w:t xml:space="preserve"> y marcar claramente cada ejemplar como “COPIA”. En caso de discrepancia, el texto del original prevalecerá sobre el de las copias.</w:t>
      </w:r>
    </w:p>
    <w:p>
      <w:pPr>
        <w:numPr>
          <w:ilvl w:val="0"/>
          <w:numId w:val="4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original y todas las copias de la oferta deberán ser mecanografiadas o escritas con tinta indeleble y deberán estar firmadas por la persona debidamente autorizada para firmar en nombre del Oferente.</w:t>
      </w:r>
    </w:p>
    <w:p>
      <w:pPr>
        <w:numPr>
          <w:ilvl w:val="0"/>
          <w:numId w:val="4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Los textos entre líneas, tachaduras o palabras superpuestas serán válidos solamente si llevan la firma o las iniciales de la persona que firma la oferta.</w:t>
      </w:r>
    </w:p>
    <w:p>
      <w:pPr>
        <w:keepNext/>
        <w:keepLines/>
        <w:numPr>
          <w:ilvl w:val="0"/>
          <w:numId w:val="3"/>
        </w:numPr>
        <w:spacing w:before="240" w:after="120" w:line="240" w:lineRule="auto"/>
        <w:ind w:left="360"/>
        <w:outlineLvl w:val="1"/>
        <w:rPr>
          <w:rFonts w:eastAsia="Times New Roman" w:asciiTheme="minorHAnsi" w:hAnsiTheme="minorHAnsi" w:cstheme="minorHAnsi"/>
          <w:b/>
          <w:bCs/>
          <w:sz w:val="20"/>
          <w:szCs w:val="20"/>
          <w:lang w:val="es-EC"/>
        </w:rPr>
      </w:pPr>
      <w:bookmarkStart w:id="133" w:name="_Toc478103439"/>
      <w:r>
        <w:rPr>
          <w:rFonts w:eastAsia="Times New Roman" w:asciiTheme="minorHAnsi" w:hAnsiTheme="minorHAnsi" w:cstheme="minorHAnsi"/>
          <w:b/>
          <w:bCs/>
          <w:sz w:val="20"/>
          <w:szCs w:val="20"/>
          <w:lang w:val="es-EC"/>
        </w:rPr>
        <w:t>PRESENTACIÓN Y APERTURA DE LAS OFERTAS</w:t>
      </w:r>
      <w:bookmarkEnd w:id="133"/>
    </w:p>
    <w:p>
      <w:pPr>
        <w:keepNext/>
        <w:keepLines/>
        <w:numPr>
          <w:ilvl w:val="0"/>
          <w:numId w:val="4"/>
        </w:numPr>
        <w:spacing w:before="240" w:after="0" w:line="240" w:lineRule="auto"/>
        <w:ind w:left="540" w:hanging="540"/>
        <w:outlineLvl w:val="1"/>
        <w:rPr>
          <w:rFonts w:asciiTheme="minorHAnsi" w:hAnsiTheme="minorHAnsi" w:cstheme="minorHAnsi"/>
          <w:b/>
          <w:sz w:val="20"/>
          <w:szCs w:val="20"/>
          <w:lang w:val="es-EC"/>
        </w:rPr>
      </w:pPr>
      <w:bookmarkStart w:id="134" w:name="_Toc438438845"/>
      <w:bookmarkStart w:id="135" w:name="_Toc438532614"/>
      <w:bookmarkStart w:id="136" w:name="_Toc438733989"/>
      <w:bookmarkStart w:id="137" w:name="_Toc438907027"/>
      <w:bookmarkStart w:id="138" w:name="_Toc438907226"/>
      <w:bookmarkStart w:id="139" w:name="_Toc106180671"/>
      <w:bookmarkStart w:id="140" w:name="_Toc317173227"/>
      <w:bookmarkStart w:id="141" w:name="_Toc478103440"/>
      <w:r>
        <w:rPr>
          <w:rFonts w:asciiTheme="minorHAnsi" w:hAnsiTheme="minorHAnsi" w:cstheme="minorHAnsi"/>
          <w:b/>
          <w:sz w:val="20"/>
          <w:szCs w:val="20"/>
          <w:lang w:val="es-EC"/>
        </w:rPr>
        <w:t>Presentación, Sello e Identificación de las Ofertas</w:t>
      </w:r>
      <w:bookmarkEnd w:id="134"/>
      <w:bookmarkEnd w:id="135"/>
      <w:bookmarkEnd w:id="136"/>
      <w:bookmarkEnd w:id="137"/>
      <w:bookmarkEnd w:id="138"/>
      <w:bookmarkEnd w:id="139"/>
      <w:bookmarkEnd w:id="140"/>
      <w:bookmarkEnd w:id="141"/>
    </w:p>
    <w:p>
      <w:pPr>
        <w:numPr>
          <w:ilvl w:val="0"/>
          <w:numId w:val="4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Oferentes siempre podrán enviar sus ofertas por correo o entregarlas personalmente. Los Oferentes podrán presentar sus ofertas electrónicamente cuando así se indique en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w:t>
      </w:r>
    </w:p>
    <w:p>
      <w:pPr>
        <w:numPr>
          <w:ilvl w:val="0"/>
          <w:numId w:val="42"/>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Los Oferentes que presenten sus ofertas por correo o las entreguen personalmente deberán incluir el original y cada copia de la oferta, incluyendo ofertas alternativas si fueran permitidas en virtud de la Cláusula 13 de las IAO, en sobres separados, cerrados en forma inviolable y debidamente identificados como “ORIGINAL” y “COPIA”. Los sobres conteniendo el original y las copias serán incluidos a su vez en un solo sobre. El resto del procedimiento será de acuerdo con las Subcláusulas 23.2 y 23.3 de las IAO.</w:t>
      </w:r>
    </w:p>
    <w:p>
      <w:pPr>
        <w:numPr>
          <w:ilvl w:val="0"/>
          <w:numId w:val="42"/>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Los Oferentes que presenten sus ofertas electrónicamente seguirán los procedimientos especificados en los </w:t>
      </w:r>
      <w:r>
        <w:rPr>
          <w:rFonts w:asciiTheme="minorHAnsi" w:hAnsiTheme="minorHAnsi" w:cstheme="minorHAnsi"/>
          <w:b/>
          <w:sz w:val="20"/>
          <w:szCs w:val="20"/>
          <w:lang w:val="es-EC"/>
        </w:rPr>
        <w:t>DDL</w:t>
      </w:r>
      <w:r>
        <w:rPr>
          <w:rFonts w:eastAsia="Times New Roman" w:asciiTheme="minorHAnsi" w:hAnsiTheme="minorHAnsi" w:cstheme="minorHAnsi"/>
          <w:sz w:val="20"/>
          <w:szCs w:val="20"/>
          <w:lang w:val="es-EC"/>
        </w:rPr>
        <w:t>.</w:t>
      </w:r>
    </w:p>
    <w:p>
      <w:pPr>
        <w:numPr>
          <w:ilvl w:val="0"/>
          <w:numId w:val="4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Los sobres interiores y exteriores deberán:</w:t>
      </w:r>
    </w:p>
    <w:p>
      <w:pPr>
        <w:numPr>
          <w:ilvl w:val="0"/>
          <w:numId w:val="43"/>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llevar el nombre y la dirección del Oferente</w:t>
      </w:r>
      <w:r>
        <w:rPr>
          <w:rFonts w:eastAsia="Times New Roman" w:asciiTheme="minorHAnsi" w:hAnsiTheme="minorHAnsi" w:cstheme="minorHAnsi"/>
          <w:sz w:val="20"/>
          <w:szCs w:val="20"/>
          <w:lang w:val="es-EC"/>
        </w:rPr>
        <w:t>;</w:t>
      </w:r>
    </w:p>
    <w:p>
      <w:pPr>
        <w:numPr>
          <w:ilvl w:val="0"/>
          <w:numId w:val="43"/>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estar dirigidos al Comprador de acuerdo a lo indicado en la Subcláusula 24.1 de las IAO</w:t>
      </w:r>
      <w:r>
        <w:rPr>
          <w:rFonts w:eastAsia="Times New Roman" w:asciiTheme="minorHAnsi" w:hAnsiTheme="minorHAnsi" w:cstheme="minorHAnsi"/>
          <w:sz w:val="20"/>
          <w:szCs w:val="20"/>
          <w:lang w:val="es-EC"/>
        </w:rPr>
        <w:t>;</w:t>
      </w:r>
    </w:p>
    <w:p>
      <w:pPr>
        <w:numPr>
          <w:ilvl w:val="0"/>
          <w:numId w:val="43"/>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llevar la identificación específica de este proceso de licitación indicado en la Cláusula 1.1 de las IAO y cualquier otra identificación que se indique en los </w:t>
      </w:r>
      <w:r>
        <w:rPr>
          <w:rFonts w:asciiTheme="minorHAnsi" w:hAnsiTheme="minorHAnsi" w:cstheme="minorHAnsi"/>
          <w:b/>
          <w:sz w:val="20"/>
          <w:szCs w:val="20"/>
          <w:lang w:val="es-EC"/>
        </w:rPr>
        <w:t>DDL</w:t>
      </w:r>
      <w:r>
        <w:rPr>
          <w:rFonts w:asciiTheme="minorHAnsi" w:hAnsiTheme="minorHAnsi" w:cstheme="minorHAnsi"/>
          <w:sz w:val="20"/>
          <w:szCs w:val="20"/>
          <w:lang w:val="es-EC"/>
        </w:rPr>
        <w:t>; y</w:t>
      </w:r>
    </w:p>
    <w:p>
      <w:pPr>
        <w:numPr>
          <w:ilvl w:val="0"/>
          <w:numId w:val="43"/>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llevar una advertencia de no abrir antes de la hora y fecha de apertura de ofertas, especificadas de conformidad con la Subcláusula 27.1 de las IAO.</w:t>
      </w:r>
    </w:p>
    <w:p>
      <w:pPr>
        <w:numPr>
          <w:ilvl w:val="0"/>
          <w:numId w:val="41"/>
        </w:numPr>
        <w:spacing w:before="60" w:after="60" w:line="240" w:lineRule="auto"/>
        <w:ind w:left="1260"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Si los sobres no están sellados e identificados como se requiere, el Comprador no se responsabilizará en caso de que la oferta se extravíe o sea abierta prematuramente.</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142" w:name="_Toc424009124"/>
      <w:bookmarkStart w:id="143" w:name="_Toc438438846"/>
      <w:bookmarkStart w:id="144" w:name="_Toc438532618"/>
      <w:bookmarkStart w:id="145" w:name="_Toc438733990"/>
      <w:bookmarkStart w:id="146" w:name="_Toc438907028"/>
      <w:bookmarkStart w:id="147" w:name="_Toc438907227"/>
      <w:bookmarkStart w:id="148" w:name="_Toc106180672"/>
      <w:bookmarkStart w:id="149" w:name="_Toc317173228"/>
      <w:bookmarkStart w:id="150" w:name="_Toc478103441"/>
      <w:r>
        <w:rPr>
          <w:rFonts w:eastAsia="Times New Roman" w:asciiTheme="minorHAnsi" w:hAnsiTheme="minorHAnsi" w:cstheme="minorHAnsi"/>
          <w:b/>
          <w:bCs/>
          <w:sz w:val="20"/>
          <w:szCs w:val="20"/>
          <w:lang w:val="es-EC"/>
        </w:rPr>
        <w:t>Plazo para Presentar las Ofertas</w:t>
      </w:r>
      <w:bookmarkEnd w:id="142"/>
      <w:bookmarkEnd w:id="143"/>
      <w:bookmarkEnd w:id="144"/>
      <w:bookmarkEnd w:id="145"/>
      <w:bookmarkEnd w:id="146"/>
      <w:bookmarkEnd w:id="147"/>
      <w:bookmarkEnd w:id="148"/>
      <w:bookmarkEnd w:id="149"/>
      <w:bookmarkEnd w:id="150"/>
    </w:p>
    <w:p>
      <w:pPr>
        <w:numPr>
          <w:ilvl w:val="0"/>
          <w:numId w:val="44"/>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Las ofertas deberán ser recibidas por el Comprador en la dirección y no más tarde que la fecha y hora que se especifican en los </w:t>
      </w:r>
      <w:r>
        <w:rPr>
          <w:rFonts w:asciiTheme="minorHAnsi" w:hAnsiTheme="minorHAnsi" w:cstheme="minorHAnsi"/>
          <w:b/>
          <w:sz w:val="20"/>
          <w:szCs w:val="20"/>
          <w:lang w:val="es-EC"/>
        </w:rPr>
        <w:t>DDL</w:t>
      </w:r>
      <w:r>
        <w:rPr>
          <w:rFonts w:asciiTheme="minorHAnsi" w:hAnsiTheme="minorHAnsi" w:cstheme="minorHAnsi"/>
          <w:sz w:val="20"/>
          <w:szCs w:val="20"/>
          <w:lang w:val="es-EC"/>
        </w:rPr>
        <w:t>.</w:t>
      </w:r>
    </w:p>
    <w:p>
      <w:pPr>
        <w:numPr>
          <w:ilvl w:val="0"/>
          <w:numId w:val="44"/>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151" w:name="_Toc438532619"/>
      <w:bookmarkStart w:id="152" w:name="_Toc438733991"/>
      <w:bookmarkStart w:id="153" w:name="_Toc438907029"/>
      <w:bookmarkStart w:id="154" w:name="_Toc438907228"/>
      <w:bookmarkStart w:id="155" w:name="_Toc106180673"/>
      <w:bookmarkStart w:id="156" w:name="_Toc317173229"/>
      <w:bookmarkStart w:id="157" w:name="_Toc478103442"/>
      <w:bookmarkStart w:id="158" w:name="_Toc438438847"/>
      <w:r>
        <w:rPr>
          <w:rFonts w:eastAsia="Times New Roman" w:asciiTheme="minorHAnsi" w:hAnsiTheme="minorHAnsi" w:cstheme="minorHAnsi"/>
          <w:b/>
          <w:bCs/>
          <w:sz w:val="20"/>
          <w:szCs w:val="20"/>
          <w:lang w:val="es-EC"/>
        </w:rPr>
        <w:t>Ofertas Tardías</w:t>
      </w:r>
      <w:bookmarkEnd w:id="151"/>
      <w:bookmarkEnd w:id="152"/>
      <w:bookmarkEnd w:id="153"/>
      <w:bookmarkEnd w:id="154"/>
      <w:bookmarkEnd w:id="155"/>
      <w:bookmarkEnd w:id="156"/>
      <w:bookmarkEnd w:id="157"/>
      <w:bookmarkEnd w:id="158"/>
    </w:p>
    <w:p>
      <w:pPr>
        <w:numPr>
          <w:ilvl w:val="0"/>
          <w:numId w:val="45"/>
        </w:numPr>
        <w:spacing w:before="60" w:after="60" w:line="240" w:lineRule="auto"/>
        <w:ind w:left="1260"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159" w:name="_Toc424009126"/>
      <w:bookmarkStart w:id="160" w:name="_Toc438438848"/>
      <w:bookmarkStart w:id="161" w:name="_Toc438532620"/>
      <w:bookmarkStart w:id="162" w:name="_Toc438733992"/>
      <w:bookmarkStart w:id="163" w:name="_Toc438907030"/>
      <w:bookmarkStart w:id="164" w:name="_Toc438907229"/>
      <w:bookmarkStart w:id="165" w:name="_Toc106180674"/>
      <w:bookmarkStart w:id="166" w:name="_Toc317173230"/>
      <w:bookmarkStart w:id="167" w:name="_Toc478103443"/>
      <w:r>
        <w:rPr>
          <w:rFonts w:eastAsia="Times New Roman" w:asciiTheme="minorHAnsi" w:hAnsiTheme="minorHAnsi" w:cstheme="minorHAnsi"/>
          <w:b/>
          <w:bCs/>
          <w:sz w:val="20"/>
          <w:szCs w:val="20"/>
          <w:lang w:val="es-EC"/>
        </w:rPr>
        <w:t>Retiro, Sustitución y Modificación de las Ofertas</w:t>
      </w:r>
      <w:bookmarkEnd w:id="159"/>
      <w:bookmarkEnd w:id="160"/>
      <w:bookmarkEnd w:id="161"/>
      <w:bookmarkEnd w:id="162"/>
      <w:bookmarkEnd w:id="163"/>
      <w:bookmarkEnd w:id="164"/>
      <w:bookmarkEnd w:id="165"/>
      <w:bookmarkEnd w:id="166"/>
      <w:bookmarkEnd w:id="167"/>
    </w:p>
    <w:p>
      <w:pPr>
        <w:numPr>
          <w:ilvl w:val="0"/>
          <w:numId w:val="4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Subcláusula 22.2 (con excepción de la comunicación de retiro que no requiere copias). La sustitución o modificación correspondiente de la oferta deberá acompañar dicha comunicación por escrito. Todas las comunicaciones deberán ser:</w:t>
      </w:r>
    </w:p>
    <w:p>
      <w:pPr>
        <w:numPr>
          <w:ilvl w:val="0"/>
          <w:numId w:val="47"/>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presentadas de conformidad con las Cláusulas 22 y 23 de las IAO (con excepción de la comunicación de retiro que no requiere copias). Adicionalmente, los respectivos sobres deberán estar claramente marcados “RETIRO”</w:t>
      </w:r>
      <w:r>
        <w:rPr>
          <w:rFonts w:asciiTheme="minorHAnsi" w:hAnsiTheme="minorHAnsi" w:cstheme="minorHAnsi"/>
          <w:smallCaps/>
          <w:sz w:val="20"/>
          <w:szCs w:val="20"/>
          <w:lang w:val="es-EC"/>
        </w:rPr>
        <w:t xml:space="preserve">, </w:t>
      </w:r>
      <w:r>
        <w:rPr>
          <w:rFonts w:asciiTheme="minorHAnsi" w:hAnsiTheme="minorHAnsi" w:cstheme="minorHAnsi"/>
          <w:sz w:val="20"/>
          <w:szCs w:val="20"/>
          <w:lang w:val="es-EC"/>
        </w:rPr>
        <w:t>“SUSTITUCIÓN” o “MODIFICACIÓN”; y</w:t>
      </w:r>
    </w:p>
    <w:p>
      <w:pPr>
        <w:numPr>
          <w:ilvl w:val="0"/>
          <w:numId w:val="47"/>
        </w:numPr>
        <w:tabs>
          <w:tab w:val="left" w:pos="405"/>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recibidas por el Comprador antes del plazo límite establecido para la presentación de las ofertas, de conformidad con la Cláusula 24 de las IAO</w:t>
      </w:r>
      <w:r>
        <w:rPr>
          <w:rFonts w:eastAsia="Times New Roman" w:asciiTheme="minorHAnsi" w:hAnsiTheme="minorHAnsi" w:cstheme="minorHAnsi"/>
          <w:sz w:val="20"/>
          <w:szCs w:val="20"/>
          <w:lang w:val="es-EC"/>
        </w:rPr>
        <w:t>.</w:t>
      </w:r>
    </w:p>
    <w:p>
      <w:pPr>
        <w:numPr>
          <w:ilvl w:val="0"/>
          <w:numId w:val="4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Las ofertas cuyo retiro fue solicitado de conformidad con la Subcláusula 26.1 de las IAO serán devueltas sin abrir a los Oferentes remitentes. </w:t>
      </w:r>
    </w:p>
    <w:p>
      <w:pPr>
        <w:numPr>
          <w:ilvl w:val="0"/>
          <w:numId w:val="4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168" w:name="_Toc478103444"/>
      <w:r>
        <w:rPr>
          <w:rFonts w:eastAsia="Times New Roman" w:asciiTheme="minorHAnsi" w:hAnsiTheme="minorHAnsi" w:cstheme="minorHAnsi"/>
          <w:b/>
          <w:bCs/>
          <w:sz w:val="20"/>
          <w:szCs w:val="20"/>
          <w:lang w:val="es-EC"/>
        </w:rPr>
        <w:t>Apertura de las Ofertas</w:t>
      </w:r>
      <w:bookmarkEnd w:id="168"/>
    </w:p>
    <w:p>
      <w:pPr>
        <w:numPr>
          <w:ilvl w:val="0"/>
          <w:numId w:val="4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Comprador llevará a cabo el acto de apertura de las ofertas en público en la dirección, fecha y hora </w:t>
      </w:r>
      <w:r>
        <w:rPr>
          <w:rFonts w:asciiTheme="minorHAnsi" w:hAnsiTheme="minorHAnsi" w:cstheme="minorHAnsi"/>
          <w:b/>
          <w:sz w:val="20"/>
          <w:szCs w:val="20"/>
          <w:lang w:val="es-EC"/>
        </w:rPr>
        <w:t xml:space="preserve">establecidas en los DDL. </w:t>
      </w:r>
      <w:r>
        <w:rPr>
          <w:rFonts w:asciiTheme="minorHAnsi" w:hAnsiTheme="minorHAnsi" w:cstheme="minorHAnsi"/>
          <w:bCs/>
          <w:sz w:val="20"/>
          <w:szCs w:val="20"/>
          <w:lang w:val="es-EC"/>
        </w:rPr>
        <w:t xml:space="preserve">Cualquier </w:t>
      </w:r>
      <w:r>
        <w:rPr>
          <w:rFonts w:asciiTheme="minorHAnsi" w:hAnsiTheme="minorHAnsi" w:cstheme="minorHAnsi"/>
          <w:sz w:val="20"/>
          <w:szCs w:val="20"/>
          <w:lang w:val="es-EC"/>
        </w:rPr>
        <w:t xml:space="preserve">procedimiento específico para la apertura de ofertas presentadas electrónicamente si fueron permitidas de conformidad con la Cláusula 23.1 de las IAO, estará </w:t>
      </w:r>
      <w:r>
        <w:rPr>
          <w:rFonts w:asciiTheme="minorHAnsi" w:hAnsiTheme="minorHAnsi" w:cstheme="minorHAnsi"/>
          <w:b/>
          <w:sz w:val="20"/>
          <w:szCs w:val="20"/>
          <w:lang w:val="es-EC"/>
        </w:rPr>
        <w:t>indicado en los DDL</w:t>
      </w:r>
      <w:r>
        <w:rPr>
          <w:rFonts w:asciiTheme="minorHAnsi" w:hAnsiTheme="minorHAnsi" w:cstheme="minorHAnsi"/>
          <w:sz w:val="20"/>
          <w:szCs w:val="20"/>
          <w:lang w:val="es-EC"/>
        </w:rPr>
        <w:t xml:space="preserve">. </w:t>
      </w:r>
    </w:p>
    <w:p>
      <w:pPr>
        <w:numPr>
          <w:ilvl w:val="0"/>
          <w:numId w:val="4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Primero se abrirán los sobres marcados como “RETIRO” y se leerán en voz alta y el sobre con la oferta correspondiente no será abierto sino devuelto al Oferente remitente. Si el sobre del retiro no contiene una copia del poder cuyas firmas confirmen la legitimidad del representante autorizado por el Oferente,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“SUSTITUCIÓN” se leerán en voz alta y se intercambiará con la oferta correspondiente que está siendo sustituida; la oferta sustituida no se abrirá sino que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“MODIFICACIÓN”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abran y lean en voz alta durante el acto de apertura de las ofertas.</w:t>
      </w:r>
    </w:p>
    <w:p>
      <w:pPr>
        <w:numPr>
          <w:ilvl w:val="0"/>
          <w:numId w:val="4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Todos los demás sobres se abrirán de uno en uno, leyendo en voz alta: el nombre del Oferente y si contiene modificaciones; los precios de la oferta, incluyendo cualquier descuento u ofertas alternativas; la existencia de una Garantía de Mantenimiento de la Oferta o una Declaración de Mantenimiento de la Oferta de requerirse; y cualquier otro detalle que el Comprador considere pertinente. Solamente los descuentos y ofertas alternativas leídas en voz alta se considerarán en la evaluación. Ninguna oferta será rechazada durante el acto de apertura, excepto las ofertas tardías, de conformidad con la Subcláusula 25.1 de las IAO. </w:t>
      </w:r>
    </w:p>
    <w:p>
      <w:pPr>
        <w:numPr>
          <w:ilvl w:val="0"/>
          <w:numId w:val="4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preparará un acta del acto de apertura de las ofertas que incluirá como mínimo: el nombre del Oferente y si hubo retiro, sustitución o modificación; el precio de la oferta, por lote si corresponde, incluyendo cualquier descuento y ofertas alternativas si estaban permitidas; y la existencia o no de la Garantía de Mantenimiento de la Oferta o de la Declaración de Mantenimiento de la Oferta, de haberse requerido. Se le debe solicitar a los representantes de los Oferentes presentes que firmen la hoja de asistencia. Una copia del acta deberá ser distribuida a los Oferentes que presenten sus ofertas a tiempo, y publicada en línea de haberse permitido ofertar electrónicamente.</w:t>
      </w:r>
    </w:p>
    <w:p>
      <w:pPr>
        <w:keepNext/>
        <w:keepLines/>
        <w:numPr>
          <w:ilvl w:val="0"/>
          <w:numId w:val="3"/>
        </w:numPr>
        <w:spacing w:before="240" w:after="120" w:line="240" w:lineRule="auto"/>
        <w:ind w:left="360"/>
        <w:outlineLvl w:val="1"/>
        <w:rPr>
          <w:rFonts w:eastAsia="Times New Roman" w:asciiTheme="minorHAnsi" w:hAnsiTheme="minorHAnsi" w:cstheme="minorHAnsi"/>
          <w:b/>
          <w:bCs/>
          <w:sz w:val="20"/>
          <w:szCs w:val="20"/>
          <w:lang w:val="es-EC"/>
        </w:rPr>
      </w:pPr>
      <w:bookmarkStart w:id="169" w:name="_Toc478103445"/>
      <w:r>
        <w:rPr>
          <w:rFonts w:eastAsia="Times New Roman" w:asciiTheme="minorHAnsi" w:hAnsiTheme="minorHAnsi" w:cstheme="minorHAnsi"/>
          <w:b/>
          <w:bCs/>
          <w:sz w:val="20"/>
          <w:szCs w:val="20"/>
          <w:lang w:val="es-EC"/>
        </w:rPr>
        <w:t>Evaluación y Comparación de Ofertas</w:t>
      </w:r>
      <w:bookmarkEnd w:id="169"/>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170" w:name="_Toc317173233"/>
      <w:bookmarkStart w:id="171" w:name="_Toc106180677"/>
      <w:bookmarkStart w:id="172" w:name="_Toc478103446"/>
      <w:r>
        <w:rPr>
          <w:rFonts w:eastAsia="Times New Roman" w:asciiTheme="minorHAnsi" w:hAnsiTheme="minorHAnsi" w:cstheme="minorHAnsi"/>
          <w:b/>
          <w:bCs/>
          <w:sz w:val="20"/>
          <w:szCs w:val="20"/>
          <w:lang w:val="es-EC"/>
        </w:rPr>
        <w:t>Confiden</w:t>
      </w:r>
      <w:bookmarkEnd w:id="170"/>
      <w:bookmarkEnd w:id="171"/>
      <w:r>
        <w:rPr>
          <w:rFonts w:eastAsia="Times New Roman" w:asciiTheme="minorHAnsi" w:hAnsiTheme="minorHAnsi" w:cstheme="minorHAnsi"/>
          <w:b/>
          <w:bCs/>
          <w:sz w:val="20"/>
          <w:szCs w:val="20"/>
          <w:lang w:val="es-EC"/>
        </w:rPr>
        <w:t>cialidad</w:t>
      </w:r>
      <w:bookmarkEnd w:id="172"/>
    </w:p>
    <w:p>
      <w:pPr>
        <w:numPr>
          <w:ilvl w:val="0"/>
          <w:numId w:val="4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No se divulgará a los Oferentes ni a ninguna persona que no esté oficialmente involucrada con el proceso de la licitación, información relacionada con la revisión, evaluación, comparación y poscalificación de las ofertas, ni sobre la recomendación de adjudicación del Contrato hasta que se haya publicado la adjudicación del Contrato.</w:t>
      </w:r>
    </w:p>
    <w:p>
      <w:pPr>
        <w:numPr>
          <w:ilvl w:val="0"/>
          <w:numId w:val="4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Cualquier intento por parte de un Oferente para influenciar al Comprador en la revisión, evaluación, comparación y poscalificación de las ofertas o en la adjudicación del Contrato podrá resultar en el rechazo de su oferta.</w:t>
      </w:r>
    </w:p>
    <w:p>
      <w:pPr>
        <w:numPr>
          <w:ilvl w:val="0"/>
          <w:numId w:val="4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No obstante lo dispuesto en la Subcláusula 28.2 de las IAO, si durante el plazo transcurrido entre el acto de apertura y la fecha de adjudicación del Contrato, un Oferente desea comunicarse con el Comprador sobre cualquier asunto relacionado con el proceso de la licitación, deberá hacerlo por escrito.</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173" w:name="_Toc106180678"/>
      <w:bookmarkStart w:id="174" w:name="_Toc317173234"/>
      <w:bookmarkStart w:id="175" w:name="_Toc478103447"/>
      <w:r>
        <w:rPr>
          <w:rFonts w:eastAsia="Times New Roman" w:asciiTheme="minorHAnsi" w:hAnsiTheme="minorHAnsi" w:cstheme="minorHAnsi"/>
          <w:b/>
          <w:bCs/>
          <w:sz w:val="20"/>
          <w:szCs w:val="20"/>
          <w:lang w:val="es-EC"/>
        </w:rPr>
        <w:t>Aclaración de las Ofertas</w:t>
      </w:r>
      <w:bookmarkEnd w:id="173"/>
      <w:bookmarkEnd w:id="174"/>
      <w:bookmarkEnd w:id="175"/>
      <w:bookmarkStart w:id="176" w:name="_Toc424009130"/>
      <w:bookmarkStart w:id="177" w:name="_Toc438532632"/>
      <w:bookmarkStart w:id="178" w:name="_Toc438438853"/>
      <w:bookmarkStart w:id="179" w:name="_Toc438733997"/>
      <w:bookmarkStart w:id="180" w:name="_Toc438907034"/>
      <w:bookmarkStart w:id="181" w:name="_Toc106180679"/>
      <w:bookmarkStart w:id="182" w:name="_Toc438907233"/>
      <w:bookmarkStart w:id="183" w:name="_Toc317173235"/>
    </w:p>
    <w:p>
      <w:pPr>
        <w:numPr>
          <w:ilvl w:val="0"/>
          <w:numId w:val="50"/>
        </w:numPr>
        <w:spacing w:before="60" w:after="60" w:line="240" w:lineRule="auto"/>
        <w:ind w:left="1260"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Para facilitar el proceso de revisión, evaluación, comparación y poscalificación de las ofertas, el Comprador podrá, a su discreción, solicitar a cualquier Oferente aclaraciones sobre su oferta. No se considerarán aclaraciones a una oferta presentadas por Oferentes cuando no sean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w:t>
      </w:r>
    </w:p>
    <w:bookmarkEnd w:id="176"/>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184" w:name="_Toc478103448"/>
      <w:r>
        <w:rPr>
          <w:rFonts w:eastAsia="Times New Roman" w:asciiTheme="minorHAnsi" w:hAnsiTheme="minorHAnsi" w:cstheme="minorHAnsi"/>
          <w:b/>
          <w:bCs/>
          <w:sz w:val="20"/>
          <w:szCs w:val="20"/>
          <w:lang w:val="es-EC"/>
        </w:rPr>
        <w:t xml:space="preserve">Cumplimiento </w:t>
      </w:r>
      <w:bookmarkEnd w:id="177"/>
      <w:bookmarkEnd w:id="178"/>
      <w:bookmarkEnd w:id="179"/>
      <w:bookmarkEnd w:id="180"/>
      <w:bookmarkEnd w:id="181"/>
      <w:bookmarkEnd w:id="182"/>
      <w:bookmarkEnd w:id="183"/>
      <w:r>
        <w:rPr>
          <w:rFonts w:eastAsia="Times New Roman" w:asciiTheme="minorHAnsi" w:hAnsiTheme="minorHAnsi" w:cstheme="minorHAnsi"/>
          <w:b/>
          <w:bCs/>
          <w:sz w:val="20"/>
          <w:szCs w:val="20"/>
          <w:lang w:val="es-EC"/>
        </w:rPr>
        <w:t>de las Ofertas</w:t>
      </w:r>
      <w:bookmarkEnd w:id="184"/>
    </w:p>
    <w:p>
      <w:pPr>
        <w:numPr>
          <w:ilvl w:val="0"/>
          <w:numId w:val="5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Para determinar si la oferta se ajusta sustancialmente a los Documentos de Licitación, el Comprador se basará en el contenido de la propia oferta.</w:t>
      </w:r>
    </w:p>
    <w:p>
      <w:pPr>
        <w:numPr>
          <w:ilvl w:val="0"/>
          <w:numId w:val="51"/>
        </w:numPr>
        <w:tabs>
          <w:tab w:val="left" w:pos="600"/>
        </w:tabs>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Una oferta que se ajusta sustancialmente a los Documentos de Licitación es la que satisface todos los términos, condiciones y especificaciones estipuladas en dichos documentos sin desviaciones importantes, reservas u omisiones. Una desviación importante, reservación u omisión es aquella que:</w:t>
      </w:r>
    </w:p>
    <w:p>
      <w:pPr>
        <w:numPr>
          <w:ilvl w:val="0"/>
          <w:numId w:val="52"/>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afecta de una manera sustancial el alcance, la calidad o el funcionamiento de los Bienes y Servicios Conexos especificados en el Contrato; o</w:t>
      </w:r>
    </w:p>
    <w:p>
      <w:pPr>
        <w:numPr>
          <w:ilvl w:val="0"/>
          <w:numId w:val="52"/>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limita de una manera sustancial, contraria a los Documentos de Licitación, los derechos del Comprador o las obligaciones del Oferente en virtud del Contrato; o</w:t>
      </w:r>
    </w:p>
    <w:p>
      <w:pPr>
        <w:numPr>
          <w:ilvl w:val="0"/>
          <w:numId w:val="52"/>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de rectificarse, afectaría injustamente la posición competitiva de los otros Oferentes que presentan ofertas que se ajustan sustancialmente a los Documentos de Licitación.</w:t>
      </w:r>
    </w:p>
    <w:p>
      <w:pPr>
        <w:numPr>
          <w:ilvl w:val="0"/>
          <w:numId w:val="51"/>
        </w:numPr>
        <w:tabs>
          <w:tab w:val="left" w:pos="600"/>
        </w:tabs>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 una oferta no se ajusta sustancialmente a los Documentos de Licitación, deberá ser rechazada por el Comprador y el Oferente no podrá ajustarla posteriormente mediante correcciones de desviaciones importantes, reservaciones u omisiones.</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185" w:name="_Toc438438854"/>
      <w:bookmarkStart w:id="186" w:name="_Toc438532636"/>
      <w:bookmarkStart w:id="187" w:name="_Toc438733998"/>
      <w:bookmarkStart w:id="188" w:name="_Toc438907035"/>
      <w:bookmarkStart w:id="189" w:name="_Toc438907234"/>
      <w:bookmarkStart w:id="190" w:name="_Toc106180680"/>
      <w:bookmarkStart w:id="191" w:name="_Toc317173236"/>
      <w:bookmarkStart w:id="192" w:name="_Toc478103449"/>
      <w:r>
        <w:rPr>
          <w:rFonts w:eastAsia="Times New Roman" w:asciiTheme="minorHAnsi" w:hAnsiTheme="minorHAnsi" w:cstheme="minorHAnsi"/>
          <w:b/>
          <w:bCs/>
          <w:sz w:val="20"/>
          <w:szCs w:val="20"/>
          <w:lang w:val="es-EC"/>
        </w:rPr>
        <w:t>Diferencias, Errores y Omisiones</w:t>
      </w:r>
      <w:bookmarkEnd w:id="185"/>
      <w:bookmarkEnd w:id="186"/>
      <w:bookmarkEnd w:id="187"/>
      <w:bookmarkEnd w:id="188"/>
      <w:bookmarkEnd w:id="189"/>
      <w:bookmarkEnd w:id="190"/>
      <w:bookmarkEnd w:id="191"/>
      <w:bookmarkEnd w:id="192"/>
    </w:p>
    <w:p>
      <w:pPr>
        <w:numPr>
          <w:ilvl w:val="0"/>
          <w:numId w:val="5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Siempre y cuando una oferta se ajuste sustancialmente a los Documentos de Licitación, el Comprador podrá dispensar alguna diferencia u omisión cuando ésta no constituya una desviación importante.</w:t>
      </w:r>
    </w:p>
    <w:p>
      <w:pPr>
        <w:numPr>
          <w:ilvl w:val="0"/>
          <w:numId w:val="53"/>
        </w:numPr>
        <w:tabs>
          <w:tab w:val="left" w:pos="600"/>
        </w:tabs>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Siempre y cuando una oferta se ajuste sustancialmente a los Documentos de Licitación, el Comprador podrá solicitarle al Oferente que presente dentro de un plazo razonable, información o documentación necesaria para rectificar diferencias u omisiones relacionadas con requisitos no importantes de documentación. Dichas omisiones no podrán estar relacionadas con ningún aspecto del precio de la oferta. Si el Oferente no cumple con la petición, su oferta podrá ser rechazada.</w:t>
      </w:r>
    </w:p>
    <w:p>
      <w:pPr>
        <w:numPr>
          <w:ilvl w:val="0"/>
          <w:numId w:val="53"/>
        </w:numPr>
        <w:tabs>
          <w:tab w:val="left" w:pos="600"/>
        </w:tabs>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Siempre y cuando una oferta se ajuste sustancialmente a los Documentos de Licitación, el Comprador corregirá errores aritméticos de la siguiente manera:</w:t>
      </w:r>
    </w:p>
    <w:p>
      <w:pPr>
        <w:numPr>
          <w:ilvl w:val="0"/>
          <w:numId w:val="54"/>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si hay una discrepancia entre un precio unitario y el precio total 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 corregirá;</w:t>
      </w:r>
    </w:p>
    <w:p>
      <w:pPr>
        <w:numPr>
          <w:ilvl w:val="0"/>
          <w:numId w:val="54"/>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si hay un error en un total que corresponde a la suma o resta de subtotales, los subtotales prevalecerán y se corregirá el total; y</w:t>
      </w:r>
    </w:p>
    <w:p>
      <w:pPr>
        <w:numPr>
          <w:ilvl w:val="0"/>
          <w:numId w:val="54"/>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pPr>
        <w:numPr>
          <w:ilvl w:val="0"/>
          <w:numId w:val="53"/>
        </w:numPr>
        <w:spacing w:before="60" w:after="60" w:line="240" w:lineRule="auto"/>
        <w:ind w:left="1260"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Si el Oferente que presentó la oferta evaluada más baja no acepta la corrección de los errores, su oferta será rechazada.</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193" w:name="_Toc478103450"/>
      <w:bookmarkStart w:id="194" w:name="_Toc317173237"/>
      <w:bookmarkStart w:id="195" w:name="_Toc106180681"/>
      <w:bookmarkStart w:id="196" w:name="_Toc438438855"/>
      <w:bookmarkStart w:id="197" w:name="_Toc438532642"/>
      <w:bookmarkStart w:id="198" w:name="_Toc438733999"/>
      <w:bookmarkStart w:id="199" w:name="_Toc438907036"/>
      <w:bookmarkStart w:id="200" w:name="_Toc438907235"/>
      <w:r>
        <w:rPr>
          <w:rFonts w:eastAsia="Times New Roman" w:asciiTheme="minorHAnsi" w:hAnsiTheme="minorHAnsi" w:cstheme="minorHAnsi"/>
          <w:b/>
          <w:bCs/>
          <w:sz w:val="20"/>
          <w:szCs w:val="20"/>
          <w:lang w:val="es-EC"/>
        </w:rPr>
        <w:t>Examen Preliminar de las Ofertas</w:t>
      </w:r>
      <w:bookmarkEnd w:id="193"/>
      <w:bookmarkEnd w:id="194"/>
      <w:bookmarkEnd w:id="195"/>
      <w:bookmarkEnd w:id="196"/>
      <w:bookmarkEnd w:id="197"/>
      <w:bookmarkEnd w:id="198"/>
      <w:bookmarkEnd w:id="199"/>
      <w:bookmarkEnd w:id="200"/>
    </w:p>
    <w:p>
      <w:pPr>
        <w:numPr>
          <w:ilvl w:val="0"/>
          <w:numId w:val="55"/>
        </w:numPr>
        <w:spacing w:before="60" w:after="60" w:line="240" w:lineRule="auto"/>
        <w:ind w:left="1260" w:hanging="7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El Comprador examinará todas las ofertas para confirmar que todos los documentos y documentación técnica solicitada en la Cláusula 11 de las IAO han sido suministrados y para determinar si cada documento entregado está completo.</w:t>
      </w:r>
    </w:p>
    <w:p>
      <w:pPr>
        <w:numPr>
          <w:ilvl w:val="0"/>
          <w:numId w:val="55"/>
        </w:numPr>
        <w:spacing w:before="60" w:after="60" w:line="240" w:lineRule="auto"/>
        <w:ind w:left="1260" w:hanging="7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El Comprador confirmará que los siguientes documentos e información han sido proporcionados con la oferta. Si cualquiera de estos documentos o información faltaran, la oferta será rechazada.</w:t>
      </w:r>
    </w:p>
    <w:p>
      <w:pPr>
        <w:numPr>
          <w:ilvl w:val="0"/>
          <w:numId w:val="56"/>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Formulario de Oferta, de conformidad con la Subcláusula 12.1 de las IAO;</w:t>
      </w:r>
      <w:r>
        <w:rPr>
          <w:rFonts w:eastAsia="Times New Roman" w:asciiTheme="minorHAnsi" w:hAnsiTheme="minorHAnsi" w:cstheme="minorHAnsi"/>
          <w:sz w:val="20"/>
          <w:szCs w:val="20"/>
          <w:lang w:val="es-EC"/>
        </w:rPr>
        <w:t>;</w:t>
      </w:r>
    </w:p>
    <w:p>
      <w:pPr>
        <w:numPr>
          <w:ilvl w:val="0"/>
          <w:numId w:val="56"/>
        </w:numPr>
        <w:tabs>
          <w:tab w:val="left" w:pos="1152"/>
        </w:tabs>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Lista de Precios, de conformidad con la Subcláusula 12.2 de las IAO; y</w:t>
      </w:r>
    </w:p>
    <w:p>
      <w:pPr>
        <w:numPr>
          <w:ilvl w:val="0"/>
          <w:numId w:val="56"/>
        </w:numPr>
        <w:tabs>
          <w:tab w:val="left" w:pos="1152"/>
        </w:tabs>
        <w:spacing w:before="60" w:after="60" w:line="240" w:lineRule="auto"/>
        <w:ind w:left="16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Garantía de Mantenimiento de la Oferta o Declaración de Mantenimiento de la Oferta, de conformidad con la Subcláusula 21 de las IAO, si corresponde.</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01" w:name="_Toc106180682"/>
      <w:bookmarkStart w:id="202" w:name="_Toc317173238"/>
      <w:bookmarkStart w:id="203" w:name="_Toc478103451"/>
      <w:r>
        <w:rPr>
          <w:rFonts w:eastAsia="Times New Roman" w:asciiTheme="minorHAnsi" w:hAnsiTheme="minorHAnsi" w:cstheme="minorHAnsi"/>
          <w:b/>
          <w:bCs/>
          <w:sz w:val="20"/>
          <w:szCs w:val="20"/>
          <w:lang w:val="es-EC"/>
        </w:rPr>
        <w:t>Examen de los Términos y Condiciones; Evaluación Técnica</w:t>
      </w:r>
      <w:bookmarkEnd w:id="201"/>
      <w:bookmarkEnd w:id="202"/>
      <w:bookmarkEnd w:id="203"/>
    </w:p>
    <w:p>
      <w:pPr>
        <w:numPr>
          <w:ilvl w:val="0"/>
          <w:numId w:val="57"/>
        </w:numPr>
        <w:spacing w:before="60" w:after="60" w:line="240" w:lineRule="auto"/>
        <w:ind w:left="1260" w:hanging="720"/>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El Comprador examinará todas las ofertas para confirmar que todas las estipulaciones y condiciones de las CGC y de las CEC han sido aceptadas por el Oferente sin desviaciones o reservas mayores.</w:t>
      </w:r>
    </w:p>
    <w:p>
      <w:pPr>
        <w:numPr>
          <w:ilvl w:val="0"/>
          <w:numId w:val="57"/>
        </w:numPr>
        <w:spacing w:before="60" w:after="60" w:line="240" w:lineRule="auto"/>
        <w:ind w:left="1260" w:hanging="7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El Comprador evaluará los aspectos técnicos de la oferta presentada en virtud de la Cláusula 18 de las IAO, para confirmar que todos los requisitos estipulados en la Sección VI, Lista de Bienes y Servicios y Plan de Entrega de los Documentos de Licitación, han sido cumplidos sin ninguna desviación importante o reserva</w:t>
      </w:r>
      <w:r>
        <w:rPr>
          <w:rFonts w:eastAsia="Times New Roman" w:asciiTheme="minorHAnsi" w:hAnsiTheme="minorHAnsi" w:cstheme="minorHAnsi"/>
          <w:sz w:val="20"/>
          <w:szCs w:val="20"/>
          <w:lang w:val="es-EC"/>
        </w:rPr>
        <w:t>.</w:t>
      </w:r>
    </w:p>
    <w:p>
      <w:pPr>
        <w:numPr>
          <w:ilvl w:val="0"/>
          <w:numId w:val="57"/>
        </w:numPr>
        <w:spacing w:before="60" w:after="60" w:line="240" w:lineRule="auto"/>
        <w:ind w:left="1260" w:hanging="7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Si después de haber  examinado los términos y condiciones y de haber efectuado la evaluación técnica, el Comprador establece que la oferta no se ajusta sustancialmente a los Documentos de Licitación de conformidad con la Cláusula 30 de las IAO, la oferta será rechazada</w:t>
      </w:r>
      <w:r>
        <w:rPr>
          <w:rFonts w:eastAsia="Times New Roman" w:asciiTheme="minorHAnsi" w:hAnsiTheme="minorHAnsi" w:cstheme="minorHAnsi"/>
          <w:sz w:val="20"/>
          <w:szCs w:val="20"/>
          <w:lang w:val="es-EC"/>
        </w:rPr>
        <w:t>.</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04" w:name="_Toc438438857"/>
      <w:bookmarkStart w:id="205" w:name="_Toc438532646"/>
      <w:bookmarkStart w:id="206" w:name="_Toc438734001"/>
      <w:bookmarkStart w:id="207" w:name="_Toc438907038"/>
      <w:bookmarkStart w:id="208" w:name="_Toc438907237"/>
      <w:bookmarkStart w:id="209" w:name="_Toc106180683"/>
      <w:bookmarkStart w:id="210" w:name="_Toc317173239"/>
      <w:bookmarkStart w:id="211" w:name="_Toc478103452"/>
      <w:r>
        <w:rPr>
          <w:rFonts w:eastAsia="Times New Roman" w:asciiTheme="minorHAnsi" w:hAnsiTheme="minorHAnsi" w:cstheme="minorHAnsi"/>
          <w:b/>
          <w:bCs/>
          <w:sz w:val="20"/>
          <w:szCs w:val="20"/>
          <w:lang w:val="es-EC"/>
        </w:rPr>
        <w:t>Conversión a una Sola Moneda</w:t>
      </w:r>
      <w:bookmarkEnd w:id="204"/>
      <w:bookmarkEnd w:id="205"/>
      <w:bookmarkEnd w:id="206"/>
      <w:bookmarkEnd w:id="207"/>
      <w:bookmarkEnd w:id="208"/>
      <w:bookmarkEnd w:id="209"/>
      <w:bookmarkEnd w:id="210"/>
      <w:bookmarkEnd w:id="211"/>
    </w:p>
    <w:p>
      <w:pPr>
        <w:numPr>
          <w:ilvl w:val="0"/>
          <w:numId w:val="58"/>
        </w:numPr>
        <w:spacing w:before="60" w:after="60" w:line="240" w:lineRule="auto"/>
        <w:ind w:left="1260"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 xml:space="preserve">Para efectos de evaluación y comparación, el Comprador convertirá todos los precios de las ofertas expresados en diferentes monedas a la moneda única indicada en los </w:t>
      </w:r>
      <w:r>
        <w:rPr>
          <w:rFonts w:asciiTheme="minorHAnsi" w:hAnsiTheme="minorHAnsi" w:cstheme="minorHAnsi"/>
          <w:b/>
          <w:sz w:val="20"/>
          <w:szCs w:val="20"/>
          <w:lang w:val="es-EC"/>
        </w:rPr>
        <w:t xml:space="preserve">DDL </w:t>
      </w:r>
      <w:r>
        <w:rPr>
          <w:rFonts w:asciiTheme="minorHAnsi" w:hAnsiTheme="minorHAnsi" w:cstheme="minorHAnsi"/>
          <w:sz w:val="20"/>
          <w:szCs w:val="20"/>
          <w:lang w:val="es-EC"/>
        </w:rPr>
        <w:t xml:space="preserve">utilizando el tipo de cambio vendedor establecido por la fuente y en la fecha especificada en los </w:t>
      </w:r>
      <w:r>
        <w:rPr>
          <w:rFonts w:asciiTheme="minorHAnsi" w:hAnsiTheme="minorHAnsi" w:cstheme="minorHAnsi"/>
          <w:b/>
          <w:sz w:val="20"/>
          <w:szCs w:val="20"/>
          <w:lang w:val="es-EC"/>
        </w:rPr>
        <w:t>DDL.</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12" w:name="_Toc438438858"/>
      <w:bookmarkStart w:id="213" w:name="_Toc438532647"/>
      <w:bookmarkStart w:id="214" w:name="_Toc438734002"/>
      <w:bookmarkStart w:id="215" w:name="_Toc438907039"/>
      <w:bookmarkStart w:id="216" w:name="_Toc438907238"/>
      <w:bookmarkStart w:id="217" w:name="_Toc106180684"/>
      <w:bookmarkStart w:id="218" w:name="_Toc317173240"/>
      <w:bookmarkStart w:id="219" w:name="_Toc478103453"/>
      <w:r>
        <w:rPr>
          <w:rFonts w:eastAsia="Times New Roman" w:asciiTheme="minorHAnsi" w:hAnsiTheme="minorHAnsi" w:cstheme="minorHAnsi"/>
          <w:b/>
          <w:bCs/>
          <w:sz w:val="20"/>
          <w:szCs w:val="20"/>
          <w:lang w:val="es-EC"/>
        </w:rPr>
        <w:t>Preferencia Nacional</w:t>
      </w:r>
      <w:bookmarkEnd w:id="212"/>
      <w:bookmarkEnd w:id="213"/>
      <w:bookmarkEnd w:id="214"/>
      <w:bookmarkEnd w:id="215"/>
      <w:bookmarkEnd w:id="216"/>
      <w:bookmarkEnd w:id="217"/>
      <w:bookmarkEnd w:id="218"/>
      <w:bookmarkEnd w:id="219"/>
    </w:p>
    <w:p>
      <w:pPr>
        <w:numPr>
          <w:ilvl w:val="0"/>
          <w:numId w:val="5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 preferencia nacional no será un factor de evaluación a menos que se indique lo contrario en los </w:t>
      </w:r>
      <w:r>
        <w:rPr>
          <w:rFonts w:asciiTheme="minorHAnsi" w:hAnsiTheme="minorHAnsi" w:cstheme="minorHAnsi"/>
          <w:b/>
          <w:sz w:val="20"/>
          <w:szCs w:val="20"/>
          <w:lang w:val="es-EC"/>
        </w:rPr>
        <w:t>DDL</w:t>
      </w:r>
      <w:r>
        <w:rPr>
          <w:rFonts w:asciiTheme="minorHAnsi" w:hAnsiTheme="minorHAnsi" w:cstheme="minorHAnsi"/>
          <w:sz w:val="20"/>
          <w:szCs w:val="20"/>
          <w:lang w:val="es-EC"/>
        </w:rPr>
        <w:t>.</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20" w:name="_Toc438438859"/>
      <w:bookmarkStart w:id="221" w:name="_Toc438532648"/>
      <w:bookmarkStart w:id="222" w:name="_Toc438734003"/>
      <w:bookmarkStart w:id="223" w:name="_Toc438907040"/>
      <w:bookmarkStart w:id="224" w:name="_Toc438907239"/>
      <w:bookmarkStart w:id="225" w:name="_Toc106180685"/>
      <w:bookmarkStart w:id="226" w:name="_Toc317173241"/>
      <w:bookmarkStart w:id="227" w:name="_Toc478103454"/>
      <w:r>
        <w:rPr>
          <w:rFonts w:eastAsia="Times New Roman" w:asciiTheme="minorHAnsi" w:hAnsiTheme="minorHAnsi" w:cstheme="minorHAnsi"/>
          <w:b/>
          <w:bCs/>
          <w:sz w:val="20"/>
          <w:szCs w:val="20"/>
          <w:lang w:val="es-EC"/>
        </w:rPr>
        <w:t xml:space="preserve">Evaluación </w:t>
      </w:r>
      <w:bookmarkEnd w:id="220"/>
      <w:bookmarkEnd w:id="221"/>
      <w:bookmarkEnd w:id="222"/>
      <w:bookmarkEnd w:id="223"/>
      <w:bookmarkEnd w:id="224"/>
      <w:bookmarkEnd w:id="225"/>
      <w:bookmarkEnd w:id="226"/>
      <w:r>
        <w:rPr>
          <w:rFonts w:eastAsia="Times New Roman" w:asciiTheme="minorHAnsi" w:hAnsiTheme="minorHAnsi" w:cstheme="minorHAnsi"/>
          <w:b/>
          <w:bCs/>
          <w:sz w:val="20"/>
          <w:szCs w:val="20"/>
          <w:lang w:val="es-EC"/>
        </w:rPr>
        <w:t>de las Ofertas</w:t>
      </w:r>
      <w:bookmarkEnd w:id="227"/>
    </w:p>
    <w:p>
      <w:pPr>
        <w:numPr>
          <w:ilvl w:val="0"/>
          <w:numId w:val="6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evaluará todas las ofertas que se determine que hasta esta etapa de la evaluación se ajustan sustancialmente a los Documentos de Licitación.</w:t>
      </w:r>
    </w:p>
    <w:p>
      <w:pPr>
        <w:numPr>
          <w:ilvl w:val="0"/>
          <w:numId w:val="6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Para evaluar una oferta, el Comprador utilizará únicamente los factores, metodologías y criterios definidos en la Cláusula 36 de las IAO. No se permitirá ningún otro criterio ni metodología.</w:t>
      </w:r>
    </w:p>
    <w:p>
      <w:pPr>
        <w:numPr>
          <w:ilvl w:val="0"/>
          <w:numId w:val="6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Al evaluar una ofertas, el Comprador considerará lo siguiente:</w:t>
      </w:r>
    </w:p>
    <w:p>
      <w:pPr>
        <w:numPr>
          <w:ilvl w:val="0"/>
          <w:numId w:val="61"/>
        </w:numPr>
        <w:spacing w:before="60" w:after="60" w:line="240" w:lineRule="auto"/>
        <w:ind w:left="1620"/>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la evaluación se hará por Artículos o Lotes de la manera como se especifique en los </w:t>
      </w:r>
      <w:r>
        <w:rPr>
          <w:rFonts w:eastAsia="Times New Roman" w:asciiTheme="minorHAnsi" w:hAnsiTheme="minorHAnsi" w:cstheme="minorHAnsi"/>
          <w:b/>
          <w:sz w:val="20"/>
          <w:szCs w:val="20"/>
          <w:lang w:val="es-EC"/>
        </w:rPr>
        <w:t>DDL</w:t>
      </w:r>
      <w:r>
        <w:rPr>
          <w:rFonts w:eastAsia="Times New Roman" w:asciiTheme="minorHAnsi" w:hAnsiTheme="minorHAnsi" w:cstheme="minorHAnsi"/>
          <w:sz w:val="20"/>
          <w:szCs w:val="20"/>
          <w:lang w:val="es-EC"/>
        </w:rPr>
        <w:t>; y el precio cotizado de conformidad con la Cláusula 14 de las IAO;</w:t>
      </w:r>
    </w:p>
    <w:p>
      <w:pPr>
        <w:numPr>
          <w:ilvl w:val="0"/>
          <w:numId w:val="61"/>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el ajuste del precio por correcciones de errores aritméticos de conformidad con la Subcláusula 31.3 de las IAO</w:t>
      </w:r>
      <w:r>
        <w:rPr>
          <w:rFonts w:eastAsia="Times New Roman" w:asciiTheme="minorHAnsi" w:hAnsiTheme="minorHAnsi" w:cstheme="minorHAnsi"/>
          <w:sz w:val="20"/>
          <w:szCs w:val="20"/>
          <w:lang w:val="es-EC"/>
        </w:rPr>
        <w:t>;</w:t>
      </w:r>
    </w:p>
    <w:p>
      <w:pPr>
        <w:numPr>
          <w:ilvl w:val="0"/>
          <w:numId w:val="61"/>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el ajuste del precio debido a descuentos ofrecidos de conformidad con la Subcláusula 14.4 de las IAO</w:t>
      </w:r>
      <w:r>
        <w:rPr>
          <w:rFonts w:eastAsia="Times New Roman" w:asciiTheme="minorHAnsi" w:hAnsiTheme="minorHAnsi" w:cstheme="minorHAnsi"/>
          <w:sz w:val="20"/>
          <w:szCs w:val="20"/>
          <w:lang w:val="es-EC"/>
        </w:rPr>
        <w:t>;</w:t>
      </w:r>
    </w:p>
    <w:p>
      <w:pPr>
        <w:numPr>
          <w:ilvl w:val="0"/>
          <w:numId w:val="61"/>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ajustes debidos a la aplicación de los criterios de evaluación </w:t>
      </w:r>
      <w:r>
        <w:rPr>
          <w:rFonts w:asciiTheme="minorHAnsi" w:hAnsiTheme="minorHAnsi" w:cstheme="minorHAnsi"/>
          <w:b/>
          <w:sz w:val="20"/>
          <w:szCs w:val="20"/>
          <w:lang w:val="es-EC"/>
        </w:rPr>
        <w:t>especificados</w:t>
      </w:r>
      <w:r>
        <w:rPr>
          <w:rFonts w:asciiTheme="minorHAnsi" w:hAnsiTheme="minorHAnsi" w:cstheme="minorHAnsi"/>
          <w:sz w:val="20"/>
          <w:szCs w:val="20"/>
          <w:lang w:val="es-EC"/>
        </w:rPr>
        <w:t xml:space="preserve"> en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de entre los indicados en la Sección III, Criterios de Evaluación y Calificación</w:t>
      </w:r>
      <w:r>
        <w:rPr>
          <w:rFonts w:eastAsia="Times New Roman" w:asciiTheme="minorHAnsi" w:hAnsiTheme="minorHAnsi" w:cstheme="minorHAnsi"/>
          <w:sz w:val="20"/>
          <w:szCs w:val="20"/>
          <w:lang w:val="es-EC"/>
        </w:rPr>
        <w:t>;</w:t>
      </w:r>
    </w:p>
    <w:p>
      <w:pPr>
        <w:numPr>
          <w:ilvl w:val="0"/>
          <w:numId w:val="61"/>
        </w:numPr>
        <w:tabs>
          <w:tab w:val="left" w:pos="1152"/>
        </w:tabs>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ajustes debidos a la aplicación de un margen de preferencia, si corresponde, de conformidad con la Cláusula 35 de las IAO</w:t>
      </w:r>
      <w:r>
        <w:rPr>
          <w:rFonts w:eastAsia="Times New Roman" w:asciiTheme="minorHAnsi" w:hAnsiTheme="minorHAnsi" w:cstheme="minorHAnsi"/>
          <w:sz w:val="20"/>
          <w:szCs w:val="20"/>
          <w:lang w:val="es-EC"/>
        </w:rPr>
        <w:t>.</w:t>
      </w:r>
    </w:p>
    <w:p>
      <w:pPr>
        <w:numPr>
          <w:ilvl w:val="0"/>
          <w:numId w:val="60"/>
        </w:numPr>
        <w:spacing w:before="60" w:after="60" w:line="240" w:lineRule="auto"/>
        <w:ind w:left="1260" w:hanging="7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Al evaluar una oferta el Comprador excluirá y no tendrá en cuenta</w:t>
      </w:r>
      <w:r>
        <w:rPr>
          <w:rFonts w:eastAsia="Times New Roman" w:asciiTheme="minorHAnsi" w:hAnsiTheme="minorHAnsi" w:cstheme="minorHAnsi"/>
          <w:sz w:val="20"/>
          <w:szCs w:val="20"/>
          <w:lang w:val="es-EC"/>
        </w:rPr>
        <w:t>:</w:t>
      </w:r>
    </w:p>
    <w:p>
      <w:pPr>
        <w:numPr>
          <w:ilvl w:val="0"/>
          <w:numId w:val="62"/>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en el caso de Bienes producidos en el país del Comprador, los impuestos sobre las ventas y otros impuestos similares pagaderos sobre los Bienes si el Contrato es adjudicado al Oferente</w:t>
      </w:r>
      <w:r>
        <w:rPr>
          <w:rFonts w:eastAsia="Times New Roman" w:asciiTheme="minorHAnsi" w:hAnsiTheme="minorHAnsi" w:cstheme="minorHAnsi"/>
          <w:sz w:val="20"/>
          <w:szCs w:val="20"/>
          <w:lang w:val="es-EC"/>
        </w:rPr>
        <w:t>;</w:t>
      </w:r>
    </w:p>
    <w:p>
      <w:pPr>
        <w:numPr>
          <w:ilvl w:val="0"/>
          <w:numId w:val="62"/>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en el caso de bienes no producidos en el país del Comprador, previamente importados o a ser importados, los derechos de aduana y otros impuestos a la importación, impuestos sobre las ventas y otros impuestos similares pagaderos sobre los Bienes si el Contrato es adjudicado al Oferente;</w:t>
      </w:r>
    </w:p>
    <w:p>
      <w:pPr>
        <w:numPr>
          <w:ilvl w:val="0"/>
          <w:numId w:val="62"/>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ninguna concesión por ajuste de precios durante el período de ejecución del Contrato, de ser estipulado en la oferta</w:t>
      </w:r>
      <w:r>
        <w:rPr>
          <w:rFonts w:eastAsia="Times New Roman" w:asciiTheme="minorHAnsi" w:hAnsiTheme="minorHAnsi" w:cstheme="minorHAnsi"/>
          <w:sz w:val="20"/>
          <w:szCs w:val="20"/>
          <w:lang w:val="es-EC"/>
        </w:rPr>
        <w:t>.</w:t>
      </w:r>
    </w:p>
    <w:p>
      <w:pPr>
        <w:numPr>
          <w:ilvl w:val="0"/>
          <w:numId w:val="6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 evaluación de una oferta requerirá que el Comprador considere otros factores, además del precio cotizado, de conformidad con la Cláusula 14 de las IAO.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  Los factores, metodologías y criterios que se apliquen serán aquellos especificados en la Subcláusula 36.3 (d) de las IAO.</w:t>
      </w:r>
    </w:p>
    <w:p>
      <w:pPr>
        <w:numPr>
          <w:ilvl w:val="0"/>
          <w:numId w:val="60"/>
        </w:numPr>
        <w:spacing w:before="60" w:after="60" w:line="240" w:lineRule="auto"/>
        <w:ind w:left="1260"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 xml:space="preserve">Si así </w:t>
      </w:r>
      <w:r>
        <w:rPr>
          <w:rFonts w:asciiTheme="minorHAnsi" w:hAnsiTheme="minorHAnsi" w:cstheme="minorHAnsi"/>
          <w:b/>
          <w:sz w:val="20"/>
          <w:szCs w:val="20"/>
          <w:lang w:val="es-EC"/>
        </w:rPr>
        <w:t xml:space="preserve">se indica en los DDL, </w:t>
      </w:r>
      <w:r>
        <w:rPr>
          <w:rFonts w:asciiTheme="minorHAnsi" w:hAnsiTheme="minorHAnsi" w:cstheme="minorHAnsi"/>
          <w:sz w:val="20"/>
          <w:szCs w:val="20"/>
          <w:lang w:val="es-EC"/>
        </w:rPr>
        <w:t>estos Documentos de Licitación permitirán que los Oferentes coticen precios separados para uno o más lotes, y permitirán que el Comprador adjudique uno o varios lotes a más de un Oferente. La metodología de evaluación para determinar la combinación de lotes evaluada más baja, está detallada en la Sección III, Criterios de Evaluación y Calificación</w:t>
      </w:r>
      <w:r>
        <w:rPr>
          <w:rFonts w:eastAsia="Times New Roman" w:asciiTheme="minorHAnsi" w:hAnsiTheme="minorHAnsi" w:cstheme="minorHAnsi"/>
          <w:sz w:val="20"/>
          <w:szCs w:val="20"/>
          <w:lang w:val="es-EC"/>
        </w:rPr>
        <w:t>.</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28" w:name="_Toc106180686"/>
      <w:bookmarkStart w:id="229" w:name="_Toc478103455"/>
      <w:bookmarkStart w:id="230" w:name="_Toc317173242"/>
      <w:r>
        <w:rPr>
          <w:rFonts w:eastAsia="Times New Roman" w:asciiTheme="minorHAnsi" w:hAnsiTheme="minorHAnsi" w:cstheme="minorHAnsi"/>
          <w:b/>
          <w:bCs/>
          <w:sz w:val="20"/>
          <w:szCs w:val="20"/>
          <w:lang w:val="es-EC"/>
        </w:rPr>
        <w:t>Comparación de las Ofertas</w:t>
      </w:r>
      <w:bookmarkEnd w:id="228"/>
      <w:bookmarkEnd w:id="229"/>
      <w:bookmarkEnd w:id="230"/>
    </w:p>
    <w:p>
      <w:pPr>
        <w:numPr>
          <w:ilvl w:val="0"/>
          <w:numId w:val="63"/>
        </w:numPr>
        <w:spacing w:before="60" w:after="60" w:line="240" w:lineRule="auto"/>
        <w:ind w:left="1260" w:hanging="720"/>
        <w:jc w:val="both"/>
        <w:rPr>
          <w:rFonts w:eastAsia="Times New Roman" w:asciiTheme="minorHAnsi" w:hAnsiTheme="minorHAnsi" w:cstheme="minorHAnsi"/>
          <w:bCs/>
          <w:sz w:val="20"/>
          <w:szCs w:val="20"/>
          <w:lang w:val="es-EC"/>
        </w:rPr>
      </w:pPr>
      <w:r>
        <w:rPr>
          <w:rFonts w:asciiTheme="minorHAnsi" w:hAnsiTheme="minorHAnsi" w:cstheme="minorHAnsi"/>
          <w:sz w:val="20"/>
          <w:szCs w:val="20"/>
          <w:lang w:val="es-EC"/>
        </w:rPr>
        <w:t>El Comprador comparará todas las ofertas que cumplen sustancialmente para determinar la oferta evaluada más baja, de conformidad con la Cláusula 36 de las IAO</w:t>
      </w:r>
      <w:r>
        <w:rPr>
          <w:rFonts w:eastAsia="Times New Roman" w:asciiTheme="minorHAnsi" w:hAnsiTheme="minorHAnsi" w:cstheme="minorHAnsi"/>
          <w:bCs/>
          <w:sz w:val="20"/>
          <w:szCs w:val="20"/>
          <w:lang w:val="es-EC"/>
        </w:rPr>
        <w:t>.</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31" w:name="_Toc478103456"/>
      <w:bookmarkStart w:id="232" w:name="_Toc317173243"/>
      <w:bookmarkStart w:id="233" w:name="_Toc438532655"/>
      <w:bookmarkStart w:id="234" w:name="_Toc106180687"/>
      <w:bookmarkStart w:id="235" w:name="_Toc438907042"/>
      <w:bookmarkStart w:id="236" w:name="_Toc438734005"/>
      <w:bookmarkStart w:id="237" w:name="_Toc438907241"/>
      <w:bookmarkStart w:id="238" w:name="_Toc438438861"/>
      <w:r>
        <w:rPr>
          <w:rFonts w:eastAsia="Times New Roman" w:asciiTheme="minorHAnsi" w:hAnsiTheme="minorHAnsi" w:cstheme="minorHAnsi"/>
          <w:b/>
          <w:bCs/>
          <w:sz w:val="20"/>
          <w:szCs w:val="20"/>
          <w:lang w:val="es-EC"/>
        </w:rPr>
        <w:t>Poscalificación del Oferente</w:t>
      </w:r>
      <w:bookmarkEnd w:id="231"/>
      <w:bookmarkEnd w:id="232"/>
      <w:bookmarkEnd w:id="233"/>
      <w:bookmarkEnd w:id="234"/>
      <w:bookmarkEnd w:id="235"/>
      <w:bookmarkEnd w:id="236"/>
      <w:bookmarkEnd w:id="237"/>
      <w:bookmarkEnd w:id="238"/>
    </w:p>
    <w:p>
      <w:pPr>
        <w:numPr>
          <w:ilvl w:val="0"/>
          <w:numId w:val="64"/>
        </w:numPr>
        <w:spacing w:before="60" w:after="60" w:line="240" w:lineRule="auto"/>
        <w:ind w:left="1260" w:hanging="7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El Comprador determinará, a su entera satisfacción, si el Oferente seleccionado como el que ha presentado la oferta evaluada más baja y ha cumplido sustancialmente con la los Documentos de Licitación está calificado para ejecutar el Contrato satisfactoriamente</w:t>
      </w:r>
      <w:r>
        <w:rPr>
          <w:rFonts w:eastAsia="Times New Roman" w:asciiTheme="minorHAnsi" w:hAnsiTheme="minorHAnsi" w:cstheme="minorHAnsi"/>
          <w:sz w:val="20"/>
          <w:szCs w:val="20"/>
          <w:lang w:val="es-EC"/>
        </w:rPr>
        <w:t>.</w:t>
      </w:r>
    </w:p>
    <w:p>
      <w:pPr>
        <w:numPr>
          <w:ilvl w:val="0"/>
          <w:numId w:val="64"/>
        </w:numPr>
        <w:spacing w:before="60" w:after="60" w:line="240" w:lineRule="auto"/>
        <w:ind w:left="1260" w:hanging="72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Dicha determinación se basará en el examen de la evidencia documentada de las calificaciones del Oferente que éste presente, de conformidad con la Cláusula 19 de las IAO</w:t>
      </w:r>
      <w:r>
        <w:rPr>
          <w:rFonts w:eastAsia="Times New Roman" w:asciiTheme="minorHAnsi" w:hAnsiTheme="minorHAnsi" w:cstheme="minorHAnsi"/>
          <w:sz w:val="20"/>
          <w:szCs w:val="20"/>
          <w:lang w:val="es-EC"/>
        </w:rPr>
        <w:t>.</w:t>
      </w:r>
    </w:p>
    <w:p>
      <w:pPr>
        <w:numPr>
          <w:ilvl w:val="0"/>
          <w:numId w:val="64"/>
        </w:numPr>
        <w:spacing w:before="60" w:after="60" w:line="240" w:lineRule="auto"/>
        <w:ind w:left="1260"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Una determinación afirmativa será un prerrequisito para la adjudicación del Contrato al Oferente. Una determinación negativa resultará en la descalificación de la oferta del Oferente, en cuyo caso el Comprador procederá a determinar si el Oferente que presentó la siguiente oferta evaluada más baja está calificado para ejecutar el Contrato satisfactoriamente</w:t>
      </w:r>
      <w:r>
        <w:rPr>
          <w:rFonts w:eastAsia="Times New Roman" w:asciiTheme="minorHAnsi" w:hAnsiTheme="minorHAnsi" w:cstheme="minorHAnsi"/>
          <w:sz w:val="20"/>
          <w:szCs w:val="20"/>
          <w:lang w:val="es-EC"/>
        </w:rPr>
        <w:t>.</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39" w:name="_Toc438438862"/>
      <w:bookmarkStart w:id="240" w:name="_Toc438532656"/>
      <w:bookmarkStart w:id="241" w:name="_Toc438734006"/>
      <w:bookmarkStart w:id="242" w:name="_Toc438907043"/>
      <w:bookmarkStart w:id="243" w:name="_Toc438907242"/>
      <w:bookmarkStart w:id="244" w:name="_Toc106180688"/>
      <w:bookmarkStart w:id="245" w:name="_Toc317173244"/>
      <w:bookmarkStart w:id="246" w:name="_Toc478103457"/>
      <w:r>
        <w:rPr>
          <w:rFonts w:eastAsia="Times New Roman" w:asciiTheme="minorHAnsi" w:hAnsiTheme="minorHAnsi" w:cstheme="minorHAnsi"/>
          <w:b/>
          <w:bCs/>
          <w:sz w:val="20"/>
          <w:szCs w:val="20"/>
          <w:lang w:val="es-EC"/>
        </w:rPr>
        <w:t>Derecho del Comprador a Aceptar cualquier Oferta y Rechazar a Cualquier o Todas las Ofertas</w:t>
      </w:r>
      <w:bookmarkEnd w:id="239"/>
      <w:bookmarkEnd w:id="240"/>
      <w:bookmarkEnd w:id="241"/>
      <w:bookmarkEnd w:id="242"/>
      <w:bookmarkEnd w:id="243"/>
      <w:bookmarkEnd w:id="244"/>
      <w:bookmarkEnd w:id="245"/>
      <w:bookmarkEnd w:id="246"/>
    </w:p>
    <w:p>
      <w:pPr>
        <w:numPr>
          <w:ilvl w:val="0"/>
          <w:numId w:val="65"/>
        </w:numPr>
        <w:spacing w:before="60" w:after="60" w:line="240" w:lineRule="auto"/>
        <w:ind w:left="1260"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El Comprador se reserva el derecho a aceptar o rechazar cualquier oferta, de anular el proceso licitatorio y de rechazar todas las ofertas en cualquier momento antes de la adjudicación del Contrato, sin que por ello adquiera responsabilidad alguna ante los Oferentes.</w:t>
      </w:r>
    </w:p>
    <w:p>
      <w:pPr>
        <w:keepNext/>
        <w:keepLines/>
        <w:numPr>
          <w:ilvl w:val="0"/>
          <w:numId w:val="3"/>
        </w:numPr>
        <w:spacing w:before="240" w:after="120" w:line="240" w:lineRule="auto"/>
        <w:ind w:left="360"/>
        <w:outlineLvl w:val="1"/>
        <w:rPr>
          <w:rFonts w:eastAsia="Times New Roman" w:asciiTheme="minorHAnsi" w:hAnsiTheme="minorHAnsi" w:cstheme="minorHAnsi"/>
          <w:b/>
          <w:bCs/>
          <w:sz w:val="20"/>
          <w:szCs w:val="20"/>
          <w:lang w:val="es-EC"/>
        </w:rPr>
      </w:pPr>
      <w:bookmarkStart w:id="247" w:name="_Toc478103458"/>
      <w:r>
        <w:rPr>
          <w:rFonts w:eastAsia="Times New Roman" w:asciiTheme="minorHAnsi" w:hAnsiTheme="minorHAnsi" w:cstheme="minorHAnsi"/>
          <w:b/>
          <w:bCs/>
          <w:sz w:val="20"/>
          <w:szCs w:val="20"/>
          <w:lang w:val="es-EC"/>
        </w:rPr>
        <w:t>Adjudicación del Contrato</w:t>
      </w:r>
      <w:bookmarkEnd w:id="247"/>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48" w:name="_Toc438438864"/>
      <w:bookmarkStart w:id="249" w:name="_Toc438532658"/>
      <w:bookmarkStart w:id="250" w:name="_Toc438734008"/>
      <w:bookmarkStart w:id="251" w:name="_Toc438907044"/>
      <w:bookmarkStart w:id="252" w:name="_Toc438907243"/>
      <w:bookmarkStart w:id="253" w:name="_Toc106180690"/>
      <w:bookmarkStart w:id="254" w:name="_Toc317173246"/>
      <w:bookmarkStart w:id="255" w:name="_Toc478103459"/>
      <w:r>
        <w:rPr>
          <w:rFonts w:eastAsia="Times New Roman" w:asciiTheme="minorHAnsi" w:hAnsiTheme="minorHAnsi" w:cstheme="minorHAnsi"/>
          <w:b/>
          <w:bCs/>
          <w:sz w:val="20"/>
          <w:szCs w:val="20"/>
          <w:lang w:val="es-EC"/>
        </w:rPr>
        <w:t>Criterios de Adjudicación</w:t>
      </w:r>
      <w:bookmarkEnd w:id="248"/>
      <w:bookmarkEnd w:id="249"/>
      <w:bookmarkEnd w:id="250"/>
      <w:bookmarkEnd w:id="251"/>
      <w:bookmarkEnd w:id="252"/>
      <w:bookmarkEnd w:id="253"/>
      <w:bookmarkEnd w:id="254"/>
      <w:bookmarkEnd w:id="255"/>
    </w:p>
    <w:p>
      <w:pPr>
        <w:numPr>
          <w:ilvl w:val="0"/>
          <w:numId w:val="66"/>
        </w:numPr>
        <w:spacing w:before="60" w:after="60" w:line="240" w:lineRule="auto"/>
        <w:ind w:left="1267"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El Comprador adjudicará el Contrato al Oferente cuya oferta haya sido determinada como la oferta evaluada más baja y cumple sustancialmente con los requisitos de los Documentos de Licitación, siempre y cuando el Comprador determine que el Oferente está calificado para ejecutar el Contrato satisfactoriamente.</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56" w:name="_Toc438438865"/>
      <w:bookmarkStart w:id="257" w:name="_Toc438532659"/>
      <w:bookmarkStart w:id="258" w:name="_Toc438734009"/>
      <w:bookmarkStart w:id="259" w:name="_Toc438907045"/>
      <w:bookmarkStart w:id="260" w:name="_Toc438907244"/>
      <w:bookmarkStart w:id="261" w:name="_Toc106180691"/>
      <w:bookmarkStart w:id="262" w:name="_Toc317173247"/>
      <w:bookmarkStart w:id="263" w:name="_Toc478103460"/>
      <w:r>
        <w:rPr>
          <w:rFonts w:eastAsia="Times New Roman" w:asciiTheme="minorHAnsi" w:hAnsiTheme="minorHAnsi" w:cstheme="minorHAnsi"/>
          <w:b/>
          <w:bCs/>
          <w:sz w:val="20"/>
          <w:szCs w:val="20"/>
          <w:lang w:val="es-EC"/>
        </w:rPr>
        <w:t>Derecho del Comprador a variar las Cantidades en el Momento de la Adjudicación</w:t>
      </w:r>
      <w:bookmarkEnd w:id="256"/>
      <w:bookmarkEnd w:id="257"/>
      <w:bookmarkEnd w:id="258"/>
      <w:bookmarkEnd w:id="259"/>
      <w:bookmarkEnd w:id="260"/>
      <w:bookmarkEnd w:id="261"/>
      <w:bookmarkEnd w:id="262"/>
      <w:bookmarkEnd w:id="263"/>
    </w:p>
    <w:p>
      <w:pPr>
        <w:numPr>
          <w:ilvl w:val="0"/>
          <w:numId w:val="67"/>
        </w:numPr>
        <w:spacing w:before="60" w:after="60" w:line="240" w:lineRule="auto"/>
        <w:ind w:left="1267" w:hanging="720"/>
        <w:jc w:val="both"/>
        <w:rPr>
          <w:rFonts w:eastAsia="Times New Roman" w:asciiTheme="minorHAnsi" w:hAnsiTheme="minorHAnsi" w:cstheme="minorHAnsi"/>
          <w:b/>
          <w:bCs/>
          <w:sz w:val="20"/>
          <w:szCs w:val="20"/>
          <w:lang w:val="es-EC"/>
        </w:rPr>
      </w:pPr>
      <w:bookmarkStart w:id="264" w:name="_Toc438438866"/>
      <w:bookmarkStart w:id="265" w:name="_Toc438532660"/>
      <w:bookmarkStart w:id="266" w:name="_Toc438734010"/>
      <w:bookmarkStart w:id="267" w:name="_Toc438907046"/>
      <w:bookmarkStart w:id="268" w:name="_Toc438907245"/>
      <w:bookmarkStart w:id="269" w:name="_Toc106180692"/>
      <w:bookmarkStart w:id="270" w:name="_Toc317173248"/>
      <w:r>
        <w:rPr>
          <w:rFonts w:asciiTheme="minorHAnsi" w:hAnsiTheme="minorHAnsi" w:cstheme="minorHAnsi"/>
          <w:sz w:val="20"/>
          <w:szCs w:val="20"/>
          <w:lang w:val="es-EC"/>
        </w:rPr>
        <w:t xml:space="preserve">Al momento de adjudicar el Contrato, el Comprador se reserva el derecho a aumentar o disminuir la cantidad de los Bienes y Servicios Conexos especificados originalmente en la Sección VI, Lista de Bienes y Servicios y Plan de Entrega, siempre y cuando esta variación no exceda los porcentajes </w:t>
      </w:r>
      <w:r>
        <w:rPr>
          <w:rFonts w:asciiTheme="minorHAnsi" w:hAnsiTheme="minorHAnsi" w:cstheme="minorHAnsi"/>
          <w:b/>
          <w:sz w:val="20"/>
          <w:szCs w:val="20"/>
          <w:lang w:val="es-EC"/>
        </w:rPr>
        <w:t>indicados en los DDL</w:t>
      </w:r>
      <w:r>
        <w:rPr>
          <w:rFonts w:asciiTheme="minorHAnsi" w:hAnsiTheme="minorHAnsi" w:cstheme="minorHAnsi"/>
          <w:sz w:val="20"/>
          <w:szCs w:val="20"/>
          <w:lang w:val="es-EC"/>
        </w:rPr>
        <w:t>, y no altere los precios unitarios u otros términos y condiciones de la oferta y de los Documentos de Licitación.</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71" w:name="_Toc478103461"/>
      <w:r>
        <w:rPr>
          <w:rFonts w:eastAsia="Times New Roman" w:asciiTheme="minorHAnsi" w:hAnsiTheme="minorHAnsi" w:cstheme="minorHAnsi"/>
          <w:b/>
          <w:bCs/>
          <w:sz w:val="20"/>
          <w:szCs w:val="20"/>
          <w:lang w:val="es-EC"/>
        </w:rPr>
        <w:t>Notificación de Adjudicación del Contrato</w:t>
      </w:r>
      <w:bookmarkEnd w:id="264"/>
      <w:bookmarkEnd w:id="265"/>
      <w:bookmarkEnd w:id="266"/>
      <w:bookmarkEnd w:id="267"/>
      <w:bookmarkEnd w:id="268"/>
      <w:bookmarkEnd w:id="269"/>
      <w:bookmarkEnd w:id="270"/>
      <w:bookmarkEnd w:id="271"/>
      <w:bookmarkStart w:id="272" w:name="_Toc106180693"/>
      <w:bookmarkStart w:id="273" w:name="_Toc317173249"/>
    </w:p>
    <w:p>
      <w:pPr>
        <w:numPr>
          <w:ilvl w:val="0"/>
          <w:numId w:val="68"/>
        </w:numPr>
        <w:spacing w:before="60" w:after="60" w:line="240" w:lineRule="auto"/>
        <w:ind w:left="1267" w:hanging="720"/>
        <w:jc w:val="both"/>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t>Antes de la expiración del período de validez de las ofertas, el Comprador notificará por escrito al Oferente seleccionado que su oferta ha sido aceptada.</w:t>
      </w:r>
    </w:p>
    <w:p>
      <w:pPr>
        <w:numPr>
          <w:ilvl w:val="0"/>
          <w:numId w:val="68"/>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sz w:val="20"/>
          <w:szCs w:val="20"/>
          <w:lang w:val="es-EC"/>
        </w:rPr>
        <w:t>Mientras se prepara un Contrato formal y es perfeccionado, la notificación de adjudicación constituirá el Contrato.</w:t>
      </w:r>
    </w:p>
    <w:p>
      <w:pPr>
        <w:numPr>
          <w:ilvl w:val="0"/>
          <w:numId w:val="68"/>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publicará en el portal del UNDB (</w:t>
      </w:r>
      <w:r>
        <w:rPr>
          <w:rFonts w:asciiTheme="minorHAnsi" w:hAnsiTheme="minorHAnsi" w:cstheme="minorHAnsi"/>
          <w:i/>
          <w:sz w:val="20"/>
          <w:szCs w:val="20"/>
          <w:lang w:val="es-EC"/>
        </w:rPr>
        <w:t>United Nations Development Business)</w:t>
      </w:r>
      <w:r>
        <w:rPr>
          <w:rFonts w:asciiTheme="minorHAnsi" w:hAnsiTheme="minorHAnsi" w:cstheme="minorHAnsi"/>
          <w:sz w:val="20"/>
          <w:szCs w:val="20"/>
          <w:lang w:val="es-EC"/>
        </w:rPr>
        <w:t xml:space="preserve"> y en el sitio de Internet del Banco los 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 </w:t>
      </w:r>
    </w:p>
    <w:p>
      <w:pPr>
        <w:numPr>
          <w:ilvl w:val="0"/>
          <w:numId w:val="68"/>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sz w:val="20"/>
          <w:szCs w:val="20"/>
          <w:lang w:val="es-EC"/>
        </w:rPr>
        <w:t>Cuando el Oferente seleccionado suministre el formulario del Convenio de Contrato ejecutado y la garantía de cumplimiento de conformidad con la Cláusula 44 de las IAO, el Comprador informará inmediatamente a cada uno de los Oferentes no seleccionados y les devolverá su garantía de oferta, de conformidad con la Cláusula 21.4 de las IAO.</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74" w:name="_Toc478103462"/>
      <w:r>
        <w:rPr>
          <w:rFonts w:eastAsia="Times New Roman" w:asciiTheme="minorHAnsi" w:hAnsiTheme="minorHAnsi" w:cstheme="minorHAnsi"/>
          <w:b/>
          <w:bCs/>
          <w:sz w:val="20"/>
          <w:szCs w:val="20"/>
          <w:lang w:val="es-EC"/>
        </w:rPr>
        <w:t>Firma del Contrato</w:t>
      </w:r>
      <w:bookmarkEnd w:id="272"/>
      <w:bookmarkEnd w:id="273"/>
      <w:bookmarkEnd w:id="274"/>
    </w:p>
    <w:p>
      <w:pPr>
        <w:numPr>
          <w:ilvl w:val="0"/>
          <w:numId w:val="69"/>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sz w:val="20"/>
          <w:szCs w:val="20"/>
          <w:lang w:val="es-EC"/>
        </w:rPr>
        <w:t>Inmediatamente después de la notificación de adjudicación, el Comprador enviará al Oferente seleccionado el formulario del Convenio de Contrato y las Condiciones Especiales del Contrato.</w:t>
      </w:r>
    </w:p>
    <w:p>
      <w:pPr>
        <w:numPr>
          <w:ilvl w:val="0"/>
          <w:numId w:val="69"/>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sz w:val="20"/>
          <w:szCs w:val="20"/>
          <w:lang w:val="es-EC"/>
        </w:rPr>
        <w:t>El Oferente seleccionado tendrá un plazo de 28 días después de la fecha de recibo del formulario del Convenio de Contrato para ejecutarlo, fecharlo y devolverlo al Comprador.</w:t>
      </w:r>
    </w:p>
    <w:p>
      <w:pPr>
        <w:numPr>
          <w:ilvl w:val="0"/>
          <w:numId w:val="69"/>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sz w:val="20"/>
          <w:szCs w:val="20"/>
          <w:lang w:val="es-EC"/>
        </w:rPr>
        <w:t>No obstante lo establecido en la Subcláusula 43.2 de las IAO anterior, en caso de que la  firma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Oferente no será obligado por su oferta. Lo anterior tendrá efecto siempre y cuando el Oferente pueda demostrar, a satisfacción del Banco y el Comprador, que la firma del Convenio de Contrato no ha sido impedida por ninguna falta de diligencia de la parte del Oferente en cuanto al cumplimiento de las formalidades tales como las aplicaciones para permisos, autorizaciones y licencias necesarias para la exportación de los productos/bienes, sistemas o servicios de acuerdo a los términos del Contrato.</w:t>
      </w:r>
    </w:p>
    <w:p>
      <w:pPr>
        <w:keepNext/>
        <w:keepLines/>
        <w:numPr>
          <w:ilvl w:val="0"/>
          <w:numId w:val="4"/>
        </w:numPr>
        <w:spacing w:before="240" w:after="0" w:line="240" w:lineRule="auto"/>
        <w:ind w:left="540" w:hanging="540"/>
        <w:outlineLvl w:val="1"/>
        <w:rPr>
          <w:rFonts w:eastAsia="Times New Roman" w:asciiTheme="minorHAnsi" w:hAnsiTheme="minorHAnsi" w:cstheme="minorHAnsi"/>
          <w:b/>
          <w:bCs/>
          <w:sz w:val="20"/>
          <w:szCs w:val="20"/>
          <w:lang w:val="es-EC"/>
        </w:rPr>
      </w:pPr>
      <w:bookmarkStart w:id="275" w:name="_Toc106180694"/>
      <w:bookmarkStart w:id="276" w:name="_Toc317173250"/>
      <w:bookmarkStart w:id="277" w:name="_Toc478103463"/>
      <w:r>
        <w:rPr>
          <w:rFonts w:eastAsia="Times New Roman" w:asciiTheme="minorHAnsi" w:hAnsiTheme="minorHAnsi" w:cstheme="minorHAnsi"/>
          <w:b/>
          <w:bCs/>
          <w:sz w:val="20"/>
          <w:szCs w:val="20"/>
          <w:lang w:val="es-EC"/>
        </w:rPr>
        <w:t>Garantía de Cumplimiento del Contrato</w:t>
      </w:r>
      <w:bookmarkEnd w:id="275"/>
      <w:bookmarkEnd w:id="276"/>
      <w:bookmarkEnd w:id="277"/>
    </w:p>
    <w:p>
      <w:pPr>
        <w:numPr>
          <w:ilvl w:val="0"/>
          <w:numId w:val="70"/>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sz w:val="20"/>
          <w:szCs w:val="20"/>
          <w:lang w:val="es-EC"/>
        </w:rPr>
        <w:t>Dentro de los veintiocho (28)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21.4 de las IAO.</w:t>
      </w:r>
    </w:p>
    <w:p>
      <w:pPr>
        <w:numPr>
          <w:ilvl w:val="0"/>
          <w:numId w:val="70"/>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sz w:val="20"/>
          <w:szCs w:val="20"/>
          <w:lang w:val="es-EC"/>
        </w:rPr>
        <w:t>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 Mantenimiento de la Oferta. En tal caso, el Comprador podrá adjudicar el Contrato al Oferente cuya oferta sea evaluada como la segunda más baja y se ajuste sustancialmente a los Documentos de Licitación, y que el Comprador determine que está calificado para ejecutar el Contrato satisfactoriamente.</w:t>
      </w:r>
    </w:p>
    <w:p>
      <w:pPr>
        <w:spacing w:before="60" w:after="60"/>
        <w:ind w:left="1267"/>
        <w:jc w:val="both"/>
        <w:rPr>
          <w:rFonts w:asciiTheme="minorHAnsi" w:hAnsiTheme="minorHAnsi" w:cstheme="minorHAnsi"/>
          <w:sz w:val="20"/>
          <w:szCs w:val="20"/>
          <w:lang w:val="es-EC"/>
        </w:rPr>
        <w:sectPr>
          <w:headerReference r:id="rId8" w:type="default"/>
          <w:pgSz w:w="12240" w:h="15840"/>
          <w:pgMar w:top="1440" w:right="1440" w:bottom="1440" w:left="1440" w:header="720" w:footer="720" w:gutter="0"/>
          <w:cols w:space="720" w:num="1"/>
          <w:docGrid w:linePitch="360" w:charSpace="0"/>
        </w:sectPr>
      </w:pPr>
    </w:p>
    <w:p>
      <w:pPr>
        <w:pStyle w:val="3"/>
        <w:jc w:val="center"/>
        <w:rPr>
          <w:rFonts w:asciiTheme="minorHAnsi" w:hAnsiTheme="minorHAnsi" w:cstheme="minorHAnsi"/>
          <w:color w:val="auto"/>
          <w:sz w:val="20"/>
          <w:szCs w:val="20"/>
          <w:lang w:val="es-EC"/>
        </w:rPr>
      </w:pPr>
      <w:bookmarkStart w:id="278" w:name="_Toc478103464"/>
      <w:r>
        <w:rPr>
          <w:rFonts w:asciiTheme="minorHAnsi" w:hAnsiTheme="minorHAnsi" w:cstheme="minorHAnsi"/>
          <w:color w:val="auto"/>
          <w:sz w:val="20"/>
          <w:szCs w:val="20"/>
          <w:lang w:val="es-EC"/>
        </w:rPr>
        <w:t>Sección II. Datos de la Licitación</w:t>
      </w:r>
      <w:bookmarkEnd w:id="278"/>
    </w:p>
    <w:p>
      <w:pPr>
        <w:rPr>
          <w:rFonts w:asciiTheme="minorHAnsi" w:hAnsiTheme="minorHAnsi" w:cstheme="minorHAnsi"/>
          <w:sz w:val="20"/>
          <w:szCs w:val="20"/>
          <w:lang w:val="es-EC"/>
        </w:rPr>
      </w:pPr>
    </w:p>
    <w:p>
      <w:pPr>
        <w:suppressAutoHyphens/>
        <w:spacing w:line="240" w:lineRule="auto"/>
        <w:ind w:right="-72"/>
        <w:jc w:val="both"/>
        <w:rPr>
          <w:rFonts w:asciiTheme="minorHAnsi" w:hAnsiTheme="minorHAnsi" w:cstheme="minorHAnsi"/>
          <w:sz w:val="20"/>
          <w:szCs w:val="20"/>
          <w:lang w:val="es-EC"/>
        </w:rPr>
      </w:pPr>
      <w:r>
        <w:rPr>
          <w:rFonts w:asciiTheme="minorHAnsi" w:hAnsiTheme="minorHAnsi" w:cstheme="minorHAnsi"/>
          <w:sz w:val="20"/>
          <w:szCs w:val="20"/>
          <w:lang w:val="es-EC"/>
        </w:rPr>
        <w:t>Los datos específicos que se presentan a continuación sobre los bienes que hayan de adquirirse, complementarán, suplementarán o enmendarán las disposiciones en las Instrucciones a los Oferentes (IAO). En caso de conflicto, las disposiciones contenidas aquí prevalecerán sobre las disposiciones en las IAO.</w:t>
      </w:r>
    </w:p>
    <w:tbl>
      <w:tblPr>
        <w:tblStyle w:val="46"/>
        <w:tblW w:w="9468"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833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Borders>
              <w:bottom w:val="nil"/>
            </w:tcBorders>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 xml:space="preserve">Cláusula de la IAO </w:t>
            </w:r>
          </w:p>
        </w:tc>
        <w:tc>
          <w:tcPr>
            <w:tcW w:w="8334" w:type="dxa"/>
            <w:tcBorders>
              <w:bottom w:val="nil"/>
            </w:tcBorders>
          </w:tcPr>
          <w:p>
            <w:pPr>
              <w:spacing w:before="60" w:after="60" w:line="240" w:lineRule="auto"/>
              <w:jc w:val="center"/>
              <w:rPr>
                <w:rFonts w:eastAsia="Times New Roman" w:asciiTheme="minorHAnsi" w:hAnsiTheme="minorHAnsi" w:cstheme="minorHAnsi"/>
                <w:b/>
                <w:bCs/>
                <w:sz w:val="20"/>
                <w:szCs w:val="20"/>
                <w:lang w:val="es-EC"/>
              </w:rPr>
            </w:pPr>
            <w:bookmarkStart w:id="279" w:name="_Toc505659529"/>
            <w:bookmarkStart w:id="280" w:name="_Toc506185677"/>
            <w:r>
              <w:rPr>
                <w:rFonts w:eastAsia="Times New Roman" w:asciiTheme="minorHAnsi" w:hAnsiTheme="minorHAnsi" w:cstheme="minorHAnsi"/>
                <w:b/>
                <w:bCs/>
                <w:sz w:val="20"/>
                <w:szCs w:val="20"/>
                <w:lang w:val="es-EC"/>
              </w:rPr>
              <w:t>A. General</w:t>
            </w:r>
            <w:bookmarkEnd w:id="279"/>
            <w:bookmarkEnd w:id="280"/>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Borders>
              <w:top w:val="single" w:color="000000" w:sz="12" w:space="0"/>
              <w:left w:val="single" w:color="000000" w:sz="12" w:space="0"/>
              <w:bottom w:val="nil"/>
              <w:right w:val="single" w:color="000000" w:sz="8" w:space="0"/>
            </w:tcBorders>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1.1</w:t>
            </w:r>
          </w:p>
        </w:tc>
        <w:tc>
          <w:tcPr>
            <w:tcW w:w="8334" w:type="dxa"/>
            <w:tcBorders>
              <w:top w:val="single" w:color="000000" w:sz="12" w:space="0"/>
              <w:left w:val="nil"/>
              <w:bottom w:val="single" w:color="auto" w:sz="12" w:space="0"/>
              <w:right w:val="single" w:color="000000" w:sz="12" w:space="0"/>
            </w:tcBorders>
          </w:tcPr>
          <w:p>
            <w:pPr>
              <w:tabs>
                <w:tab w:val="right" w:pos="7272"/>
              </w:tabs>
              <w:spacing w:before="60" w:after="6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El Comprador es: </w:t>
            </w:r>
            <w:r>
              <w:rPr>
                <w:rFonts w:eastAsia="Times New Roman" w:asciiTheme="minorHAnsi" w:hAnsiTheme="minorHAnsi" w:cstheme="minorHAnsi"/>
                <w:iCs/>
                <w:sz w:val="20"/>
                <w:szCs w:val="20"/>
                <w:lang w:val="es-EC"/>
              </w:rPr>
              <w:t>Ministerio de Salud Pública – MSP</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Borders>
              <w:top w:val="single" w:color="000000" w:sz="12" w:space="0"/>
              <w:bottom w:val="nil"/>
            </w:tcBorders>
          </w:tcPr>
          <w:p>
            <w:pPr>
              <w:spacing w:before="60" w:after="60" w:line="240" w:lineRule="auto"/>
              <w:rPr>
                <w:rFonts w:eastAsia="Times New Roman" w:asciiTheme="minorHAnsi" w:hAnsiTheme="minorHAnsi" w:cstheme="minorHAnsi"/>
                <w:bCs/>
                <w:sz w:val="20"/>
                <w:szCs w:val="20"/>
                <w:lang w:val="es-EC"/>
              </w:rPr>
            </w:pPr>
            <w:r>
              <w:rPr>
                <w:rFonts w:eastAsia="Times New Roman" w:asciiTheme="minorHAnsi" w:hAnsiTheme="minorHAnsi" w:cstheme="minorHAnsi"/>
                <w:b/>
                <w:bCs/>
                <w:sz w:val="20"/>
                <w:szCs w:val="20"/>
                <w:lang w:val="es-EC"/>
              </w:rPr>
              <w:t>IAO 1.1</w:t>
            </w:r>
          </w:p>
        </w:tc>
        <w:tc>
          <w:tcPr>
            <w:tcW w:w="8334" w:type="dxa"/>
            <w:tcBorders>
              <w:top w:val="nil"/>
              <w:bottom w:val="single" w:color="000000" w:sz="12" w:space="0"/>
            </w:tcBorders>
          </w:tcPr>
          <w:p>
            <w:pPr>
              <w:tabs>
                <w:tab w:val="right" w:pos="7272"/>
              </w:tabs>
              <w:spacing w:before="60" w:after="6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El nombre y número de identificación de la LPI son: </w:t>
            </w:r>
            <w:r>
              <w:rPr>
                <w:rFonts w:asciiTheme="minorHAnsi" w:hAnsiTheme="minorHAnsi" w:cstheme="minorHAnsi"/>
                <w:b/>
                <w:sz w:val="20"/>
                <w:szCs w:val="20"/>
                <w:lang w:val="es-EC"/>
              </w:rPr>
              <w:t>“ADQUISICIÓN DE EQUIPOS DE NEONATOLOGÍA PARA HOSPITALES DE SEGUNDO Y TERCER NIVEL DE ATENCIÓN PARA LAS ZONAS 1, 4 Y 9  (EQUIPAMIENTO DE NEONATOLOGIA EN HOSPITALES PRIORIZADOS INSTALADO)”</w:t>
            </w:r>
            <w:r>
              <w:rPr>
                <w:rFonts w:eastAsia="Times New Roman" w:asciiTheme="minorHAnsi" w:hAnsiTheme="minorHAnsi" w:cstheme="minorHAnsi"/>
                <w:iCs/>
                <w:sz w:val="20"/>
                <w:szCs w:val="20"/>
                <w:lang w:val="es-EC"/>
              </w:rPr>
              <w:t>- LPI-4364-001-2019</w:t>
            </w:r>
          </w:p>
          <w:p>
            <w:pPr>
              <w:tabs>
                <w:tab w:val="right" w:pos="7272"/>
              </w:tabs>
              <w:spacing w:before="60" w:after="60" w:line="240" w:lineRule="auto"/>
              <w:jc w:val="both"/>
              <w:rPr>
                <w:rFonts w:eastAsia="Times New Roman" w:asciiTheme="minorHAnsi" w:hAnsiTheme="minorHAnsi" w:cstheme="minorHAnsi"/>
                <w:iCs/>
                <w:sz w:val="20"/>
                <w:szCs w:val="20"/>
                <w:lang w:val="es-EC"/>
              </w:rPr>
            </w:pPr>
            <w:r>
              <w:rPr>
                <w:rFonts w:asciiTheme="minorHAnsi" w:hAnsiTheme="minorHAnsi" w:cstheme="minorHAnsi"/>
                <w:sz w:val="20"/>
                <w:szCs w:val="20"/>
                <w:lang w:val="es-EC"/>
              </w:rPr>
              <w:t xml:space="preserve">El número, identificación y nombres de los lotes que comprenden esta LPI son: </w:t>
            </w:r>
          </w:p>
          <w:p>
            <w:pPr>
              <w:tabs>
                <w:tab w:val="right" w:pos="7272"/>
              </w:tabs>
              <w:spacing w:before="60" w:after="6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tres (3) lotes: </w:t>
            </w:r>
          </w:p>
          <w:p>
            <w:pPr>
              <w:tabs>
                <w:tab w:val="right" w:pos="7272"/>
              </w:tabs>
              <w:spacing w:before="60" w:after="60" w:line="240" w:lineRule="auto"/>
              <w:jc w:val="center"/>
              <w:rPr>
                <w:rFonts w:eastAsia="Times New Roman" w:asciiTheme="minorHAnsi" w:hAnsiTheme="minorHAnsi" w:cstheme="minorHAnsi"/>
                <w:b/>
                <w:sz w:val="20"/>
                <w:szCs w:val="20"/>
                <w:lang w:val="es-EC"/>
              </w:rPr>
            </w:pPr>
            <w:r>
              <w:rPr>
                <w:rFonts w:eastAsia="Times New Roman" w:asciiTheme="minorHAnsi" w:hAnsiTheme="minorHAnsi" w:cstheme="minorHAnsi"/>
                <w:b/>
                <w:sz w:val="20"/>
                <w:szCs w:val="20"/>
                <w:lang w:val="es-EC"/>
              </w:rPr>
              <w:t>BIENES</w:t>
            </w:r>
          </w:p>
          <w:tbl>
            <w:tblPr>
              <w:tblStyle w:val="46"/>
              <w:tblW w:w="8261" w:type="dxa"/>
              <w:jc w:val="center"/>
              <w:tblInd w:w="0" w:type="dxa"/>
              <w:tblLayout w:type="fixed"/>
              <w:tblCellMar>
                <w:top w:w="0" w:type="dxa"/>
                <w:left w:w="70" w:type="dxa"/>
                <w:bottom w:w="0" w:type="dxa"/>
                <w:right w:w="70" w:type="dxa"/>
              </w:tblCellMar>
            </w:tblPr>
            <w:tblGrid>
              <w:gridCol w:w="1190"/>
              <w:gridCol w:w="2238"/>
              <w:gridCol w:w="3426"/>
              <w:gridCol w:w="1407"/>
            </w:tblGrid>
            <w:tr>
              <w:tblPrEx>
                <w:tblLayout w:type="fixed"/>
                <w:tblCellMar>
                  <w:top w:w="0" w:type="dxa"/>
                  <w:left w:w="70" w:type="dxa"/>
                  <w:bottom w:w="0" w:type="dxa"/>
                  <w:right w:w="70" w:type="dxa"/>
                </w:tblCellMar>
              </w:tblPrEx>
              <w:trPr>
                <w:trHeight w:val="300" w:hRule="atLeast"/>
                <w:jc w:val="center"/>
              </w:trPr>
              <w:tc>
                <w:tcPr>
                  <w:tcW w:w="8261" w:type="dxa"/>
                  <w:gridSpan w:val="4"/>
                  <w:tcBorders>
                    <w:top w:val="single" w:color="auto" w:sz="4" w:space="0"/>
                    <w:left w:val="single" w:color="auto" w:sz="4" w:space="0"/>
                    <w:bottom w:val="single" w:color="auto" w:sz="4" w:space="0"/>
                    <w:right w:val="single" w:color="auto" w:sz="4" w:space="0"/>
                  </w:tcBorders>
                  <w:shd w:val="clear" w:color="auto" w:fill="C2D69B"/>
                  <w:vAlign w:val="center"/>
                </w:tcPr>
                <w:p>
                  <w:pPr>
                    <w:autoSpaceDE w:val="0"/>
                    <w:autoSpaceDN w:val="0"/>
                    <w:adjustRightInd w:val="0"/>
                    <w:spacing w:after="0" w:line="240" w:lineRule="auto"/>
                    <w:jc w:val="center"/>
                    <w:rPr>
                      <w:rFonts w:eastAsia="Times New Roman" w:asciiTheme="minorHAnsi" w:hAnsiTheme="minorHAnsi" w:cstheme="minorHAnsi"/>
                      <w:b/>
                      <w:bCs/>
                      <w:color w:val="FF0000"/>
                      <w:sz w:val="18"/>
                      <w:szCs w:val="18"/>
                      <w:lang w:val="es-EC" w:eastAsia="es-EC"/>
                    </w:rPr>
                  </w:pPr>
                  <w:r>
                    <w:rPr>
                      <w:rFonts w:eastAsia="Times New Roman" w:asciiTheme="minorHAnsi" w:hAnsiTheme="minorHAnsi" w:cstheme="minorHAnsi"/>
                      <w:b/>
                      <w:bCs/>
                      <w:color w:val="000000"/>
                      <w:sz w:val="18"/>
                      <w:szCs w:val="18"/>
                      <w:lang w:val="es-EC" w:eastAsia="es-EC"/>
                    </w:rPr>
                    <w:t xml:space="preserve">LOTE Nro. 1 </w:t>
                  </w:r>
                  <w:r>
                    <w:rPr>
                      <w:rFonts w:eastAsia="Times New Roman" w:asciiTheme="minorHAnsi" w:hAnsiTheme="minorHAnsi" w:cstheme="minorHAnsi"/>
                      <w:b/>
                      <w:bCs/>
                      <w:sz w:val="18"/>
                      <w:szCs w:val="18"/>
                      <w:lang w:val="es-EC" w:eastAsia="es-EC"/>
                    </w:rPr>
                    <w:t>ZONA 1 (HOSPITAL LUIS G. DÁVILA Y HOSPITAL SAN VICENTE DE PAÚL)</w:t>
                  </w:r>
                </w:p>
              </w:tc>
            </w:tr>
            <w:tr>
              <w:tblPrEx>
                <w:tblLayout w:type="fixed"/>
                <w:tblCellMar>
                  <w:top w:w="0" w:type="dxa"/>
                  <w:left w:w="70" w:type="dxa"/>
                  <w:bottom w:w="0" w:type="dxa"/>
                  <w:right w:w="70" w:type="dxa"/>
                </w:tblCellMar>
              </w:tblPrEx>
              <w:trPr>
                <w:trHeight w:val="300" w:hRule="atLeast"/>
                <w:jc w:val="center"/>
              </w:trPr>
              <w:tc>
                <w:tcPr>
                  <w:tcW w:w="1190" w:type="dxa"/>
                  <w:tcBorders>
                    <w:top w:val="nil"/>
                    <w:left w:val="single" w:color="auto" w:sz="4" w:space="0"/>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Nro. de Artículo</w:t>
                  </w:r>
                </w:p>
              </w:tc>
              <w:tc>
                <w:tcPr>
                  <w:tcW w:w="2238" w:type="dxa"/>
                  <w:tcBorders>
                    <w:top w:val="nil"/>
                    <w:left w:val="nil"/>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CÓDIGO FICHA TÉCNICA</w:t>
                  </w:r>
                </w:p>
              </w:tc>
              <w:tc>
                <w:tcPr>
                  <w:tcW w:w="3426" w:type="dxa"/>
                  <w:tcBorders>
                    <w:top w:val="nil"/>
                    <w:left w:val="nil"/>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DESCRIPCIÓN DEL BIEN</w:t>
                  </w:r>
                </w:p>
              </w:tc>
              <w:tc>
                <w:tcPr>
                  <w:tcW w:w="1407" w:type="dxa"/>
                  <w:tcBorders>
                    <w:top w:val="nil"/>
                    <w:left w:val="nil"/>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CANTIDAD</w:t>
                  </w:r>
                </w:p>
              </w:tc>
            </w:tr>
            <w:tr>
              <w:tblPrEx>
                <w:tblLayout w:type="fixed"/>
                <w:tblCellMar>
                  <w:top w:w="0" w:type="dxa"/>
                  <w:left w:w="70" w:type="dxa"/>
                  <w:bottom w:w="0" w:type="dxa"/>
                  <w:right w:w="70" w:type="dxa"/>
                </w:tblCellMar>
              </w:tblPrEx>
              <w:trPr>
                <w:trHeight w:val="30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LÁM-01-R07</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LÁMPARA DE FOTOTERAPIA</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9</w:t>
                  </w:r>
                </w:p>
              </w:tc>
            </w:tr>
            <w:tr>
              <w:tblPrEx>
                <w:tblLayout w:type="fixed"/>
                <w:tblCellMar>
                  <w:top w:w="0" w:type="dxa"/>
                  <w:left w:w="70" w:type="dxa"/>
                  <w:bottom w:w="0" w:type="dxa"/>
                  <w:right w:w="70" w:type="dxa"/>
                </w:tblCellMar>
              </w:tblPrEx>
              <w:trPr>
                <w:trHeight w:val="30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INC-01-R07</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INCUBADORA </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r>
            <w:tr>
              <w:tblPrEx>
                <w:tblLayout w:type="fixed"/>
                <w:tblCellMar>
                  <w:top w:w="0" w:type="dxa"/>
                  <w:left w:w="70" w:type="dxa"/>
                  <w:bottom w:w="0" w:type="dxa"/>
                  <w:right w:w="70" w:type="dxa"/>
                </w:tblCellMar>
              </w:tblPrEx>
              <w:trPr>
                <w:trHeight w:val="30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3</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INC-02-R09</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INCUBADORA PARA TRANSPORTE CON VENTILADOR Y MONITOR</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r>
            <w:tr>
              <w:tblPrEx>
                <w:tblLayout w:type="fixed"/>
                <w:tblCellMar>
                  <w:top w:w="0" w:type="dxa"/>
                  <w:left w:w="70" w:type="dxa"/>
                  <w:bottom w:w="0" w:type="dxa"/>
                  <w:right w:w="70" w:type="dxa"/>
                </w:tblCellMar>
              </w:tblPrEx>
              <w:trPr>
                <w:trHeight w:val="1425"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4</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RAY-05-R02</w:t>
                  </w:r>
                </w:p>
              </w:tc>
              <w:tc>
                <w:tcPr>
                  <w:tcW w:w="3426" w:type="dxa"/>
                  <w:tcBorders>
                    <w:top w:val="nil"/>
                    <w:left w:val="nil"/>
                    <w:bottom w:val="single" w:color="auto" w:sz="4" w:space="0"/>
                    <w:right w:val="single" w:color="auto" w:sz="4" w:space="0"/>
                  </w:tcBorders>
                  <w:shd w:val="clear" w:color="000000" w:fill="FFFFFF"/>
                  <w:vAlign w:val="center"/>
                </w:tcPr>
                <w:p>
                  <w:pPr>
                    <w:autoSpaceDE w:val="0"/>
                    <w:autoSpaceDN w:val="0"/>
                    <w:adjustRightInd w:val="0"/>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UNIDAD DE RX DIGITAL MÓVIL</w:t>
                  </w:r>
                </w:p>
                <w:p>
                  <w:pPr>
                    <w:autoSpaceDE w:val="0"/>
                    <w:autoSpaceDN w:val="0"/>
                    <w:adjustRightInd w:val="0"/>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PARA USO PEDIÁTRICO/NEONATAL, CON MONITOR INTEGRADO PARA</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VISUALIZACIÓN DE IMÁGENES</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r>
            <w:tr>
              <w:tblPrEx>
                <w:tblLayout w:type="fixed"/>
                <w:tblCellMar>
                  <w:top w:w="0" w:type="dxa"/>
                  <w:left w:w="70" w:type="dxa"/>
                  <w:bottom w:w="0" w:type="dxa"/>
                  <w:right w:w="70" w:type="dxa"/>
                </w:tblCellMar>
              </w:tblPrEx>
              <w:trPr>
                <w:trHeight w:val="57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5</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RES-10-R03</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 DE ALTA FRECUENCIA</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r>
            <w:tr>
              <w:tblPrEx>
                <w:tblLayout w:type="fixed"/>
                <w:tblCellMar>
                  <w:top w:w="0" w:type="dxa"/>
                  <w:left w:w="70" w:type="dxa"/>
                  <w:bottom w:w="0" w:type="dxa"/>
                  <w:right w:w="70" w:type="dxa"/>
                </w:tblCellMar>
              </w:tblPrEx>
              <w:trPr>
                <w:trHeight w:val="57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6</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BIL-01-R05</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BILIRRUBINÓMETRO PORTÁTIL PARA NEONATOS</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r>
            <w:tr>
              <w:tblPrEx>
                <w:tblLayout w:type="fixed"/>
                <w:tblCellMar>
                  <w:top w:w="0" w:type="dxa"/>
                  <w:left w:w="70" w:type="dxa"/>
                  <w:bottom w:w="0" w:type="dxa"/>
                  <w:right w:w="70" w:type="dxa"/>
                </w:tblCellMar>
              </w:tblPrEx>
              <w:trPr>
                <w:trHeight w:val="30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7</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PES-01-R08</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PESABEBÉS ELECTRÓNICO</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r>
            <w:tr>
              <w:tblPrEx>
                <w:tblLayout w:type="fixed"/>
                <w:tblCellMar>
                  <w:top w:w="0" w:type="dxa"/>
                  <w:left w:w="70" w:type="dxa"/>
                  <w:bottom w:w="0" w:type="dxa"/>
                  <w:right w:w="70" w:type="dxa"/>
                </w:tblCellMar>
              </w:tblPrEx>
              <w:trPr>
                <w:trHeight w:val="57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8</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CPA-01-R06</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CPAP NASAL PARA NEONATOS</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7</w:t>
                  </w:r>
                </w:p>
              </w:tc>
            </w:tr>
            <w:tr>
              <w:tblPrEx>
                <w:tblLayout w:type="fixed"/>
                <w:tblCellMar>
                  <w:top w:w="0" w:type="dxa"/>
                  <w:left w:w="70" w:type="dxa"/>
                  <w:bottom w:w="0" w:type="dxa"/>
                  <w:right w:w="70" w:type="dxa"/>
                </w:tblCellMar>
              </w:tblPrEx>
              <w:trPr>
                <w:trHeight w:val="57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9</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BAL-15-R05</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BALANZA PESA ÓRGANOS Y PAÑALES</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r>
            <w:tr>
              <w:tblPrEx>
                <w:tblLayout w:type="fixed"/>
                <w:tblCellMar>
                  <w:top w:w="0" w:type="dxa"/>
                  <w:left w:w="70" w:type="dxa"/>
                  <w:bottom w:w="0" w:type="dxa"/>
                  <w:right w:w="70" w:type="dxa"/>
                </w:tblCellMar>
              </w:tblPrEx>
              <w:trPr>
                <w:trHeight w:val="114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10</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MON-06-R06</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MONITOR MULTIPARÁMETRO BÁSICO PARA</w:t>
                  </w:r>
                  <w:r>
                    <w:rPr>
                      <w:rFonts w:eastAsia="Times New Roman" w:asciiTheme="minorHAnsi" w:hAnsiTheme="minorHAnsi" w:cstheme="minorHAnsi"/>
                      <w:color w:val="000000"/>
                      <w:sz w:val="18"/>
                      <w:szCs w:val="18"/>
                      <w:lang w:val="es-EC" w:eastAsia="es-EC"/>
                    </w:rPr>
                    <w:br w:type="textWrapping"/>
                  </w:r>
                  <w:r>
                    <w:rPr>
                      <w:rFonts w:eastAsia="Times New Roman" w:asciiTheme="minorHAnsi" w:hAnsiTheme="minorHAnsi" w:cstheme="minorHAnsi"/>
                      <w:color w:val="000000"/>
                      <w:sz w:val="18"/>
                      <w:szCs w:val="18"/>
                      <w:lang w:val="es-EC" w:eastAsia="es-EC"/>
                    </w:rPr>
                    <w:t>TRANSPORTE DE PACIENTE NEONATAL</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15</w:t>
                  </w:r>
                </w:p>
              </w:tc>
            </w:tr>
            <w:tr>
              <w:tblPrEx>
                <w:tblLayout w:type="fixed"/>
                <w:tblCellMar>
                  <w:top w:w="0" w:type="dxa"/>
                  <w:left w:w="70" w:type="dxa"/>
                  <w:bottom w:w="0" w:type="dxa"/>
                  <w:right w:w="70" w:type="dxa"/>
                </w:tblCellMar>
              </w:tblPrEx>
              <w:trPr>
                <w:trHeight w:val="30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11</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CUN-01-R06</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CUNA DE CALOR RADIANTE</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7</w:t>
                  </w:r>
                </w:p>
              </w:tc>
            </w:tr>
            <w:tr>
              <w:tblPrEx>
                <w:tblLayout w:type="fixed"/>
                <w:tblCellMar>
                  <w:top w:w="0" w:type="dxa"/>
                  <w:left w:w="70" w:type="dxa"/>
                  <w:bottom w:w="0" w:type="dxa"/>
                  <w:right w:w="70" w:type="dxa"/>
                </w:tblCellMar>
              </w:tblPrEx>
              <w:trPr>
                <w:trHeight w:val="30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12</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LAR-02-R08</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LARINGOSCOPIO NEONATAL</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r>
            <w:tr>
              <w:tblPrEx>
                <w:tblLayout w:type="fixed"/>
                <w:tblCellMar>
                  <w:top w:w="0" w:type="dxa"/>
                  <w:left w:w="70" w:type="dxa"/>
                  <w:bottom w:w="0" w:type="dxa"/>
                  <w:right w:w="70" w:type="dxa"/>
                </w:tblCellMar>
              </w:tblPrEx>
              <w:trPr>
                <w:trHeight w:val="570" w:hRule="atLeast"/>
                <w:jc w:val="center"/>
              </w:trPr>
              <w:tc>
                <w:tcPr>
                  <w:tcW w:w="1190" w:type="dxa"/>
                  <w:tcBorders>
                    <w:top w:val="nil"/>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13</w:t>
                  </w:r>
                </w:p>
              </w:tc>
              <w:tc>
                <w:tcPr>
                  <w:tcW w:w="2238"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SAC-01-R08</w:t>
                  </w:r>
                </w:p>
              </w:tc>
              <w:tc>
                <w:tcPr>
                  <w:tcW w:w="3426"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SACALECHE ELÉCTRICO HOSPITALARIO</w:t>
                  </w:r>
                </w:p>
              </w:tc>
              <w:tc>
                <w:tcPr>
                  <w:tcW w:w="140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r>
          </w:tbl>
          <w:p>
            <w:pPr>
              <w:tabs>
                <w:tab w:val="right" w:pos="7272"/>
              </w:tabs>
              <w:spacing w:before="60" w:after="60" w:line="240" w:lineRule="auto"/>
              <w:jc w:val="both"/>
              <w:rPr>
                <w:rFonts w:eastAsia="Times New Roman" w:asciiTheme="minorHAnsi" w:hAnsiTheme="minorHAnsi" w:cstheme="minorHAnsi"/>
                <w:color w:val="92D050"/>
                <w:sz w:val="20"/>
                <w:szCs w:val="20"/>
                <w:lang w:val="es-EC"/>
              </w:rPr>
            </w:pPr>
          </w:p>
          <w:tbl>
            <w:tblPr>
              <w:tblStyle w:val="46"/>
              <w:tblW w:w="8103" w:type="dxa"/>
              <w:jc w:val="center"/>
              <w:tblInd w:w="0" w:type="dxa"/>
              <w:tblLayout w:type="fixed"/>
              <w:tblCellMar>
                <w:top w:w="0" w:type="dxa"/>
                <w:left w:w="70" w:type="dxa"/>
                <w:bottom w:w="0" w:type="dxa"/>
                <w:right w:w="70" w:type="dxa"/>
              </w:tblCellMar>
            </w:tblPr>
            <w:tblGrid>
              <w:gridCol w:w="1679"/>
              <w:gridCol w:w="2031"/>
              <w:gridCol w:w="3094"/>
              <w:gridCol w:w="1299"/>
            </w:tblGrid>
            <w:tr>
              <w:tblPrEx>
                <w:tblLayout w:type="fixed"/>
                <w:tblCellMar>
                  <w:top w:w="0" w:type="dxa"/>
                  <w:left w:w="70" w:type="dxa"/>
                  <w:bottom w:w="0" w:type="dxa"/>
                  <w:right w:w="70" w:type="dxa"/>
                </w:tblCellMar>
              </w:tblPrEx>
              <w:trPr>
                <w:trHeight w:val="300" w:hRule="atLeast"/>
                <w:jc w:val="center"/>
              </w:trPr>
              <w:tc>
                <w:tcPr>
                  <w:tcW w:w="8103" w:type="dxa"/>
                  <w:gridSpan w:val="4"/>
                  <w:tcBorders>
                    <w:top w:val="single" w:color="auto" w:sz="4" w:space="0"/>
                    <w:left w:val="single" w:color="auto" w:sz="4" w:space="0"/>
                    <w:bottom w:val="single" w:color="auto" w:sz="4" w:space="0"/>
                    <w:right w:val="single" w:color="auto" w:sz="4" w:space="0"/>
                  </w:tcBorders>
                  <w:shd w:val="clear" w:color="auto" w:fill="C2D69B"/>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 xml:space="preserve">LOTE Nro. 2 </w:t>
                  </w:r>
                  <w:r>
                    <w:rPr>
                      <w:rFonts w:eastAsia="Times New Roman" w:asciiTheme="minorHAnsi" w:hAnsiTheme="minorHAnsi" w:cstheme="minorHAnsi"/>
                      <w:b/>
                      <w:bCs/>
                      <w:sz w:val="18"/>
                      <w:szCs w:val="18"/>
                      <w:lang w:val="es-EC" w:eastAsia="es-EC"/>
                    </w:rPr>
                    <w:t>ZONA 4 (HOSPITAL GUSTAVO DOMÍNGUEZ – HOSPITAL GENERAL SANTO DOMINGO – HOSPITAL GENERAL DR. VERDI CEVALLOS)</w:t>
                  </w:r>
                </w:p>
              </w:tc>
            </w:tr>
            <w:tr>
              <w:tblPrEx>
                <w:tblLayout w:type="fixed"/>
                <w:tblCellMar>
                  <w:top w:w="0" w:type="dxa"/>
                  <w:left w:w="70" w:type="dxa"/>
                  <w:bottom w:w="0" w:type="dxa"/>
                  <w:right w:w="70" w:type="dxa"/>
                </w:tblCellMar>
              </w:tblPrEx>
              <w:trPr>
                <w:trHeight w:val="600" w:hRule="atLeast"/>
                <w:jc w:val="center"/>
              </w:trPr>
              <w:tc>
                <w:tcPr>
                  <w:tcW w:w="1679" w:type="dxa"/>
                  <w:tcBorders>
                    <w:top w:val="nil"/>
                    <w:left w:val="single" w:color="auto" w:sz="4" w:space="0"/>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Nro. de Artículo</w:t>
                  </w:r>
                </w:p>
              </w:tc>
              <w:tc>
                <w:tcPr>
                  <w:tcW w:w="2031" w:type="dxa"/>
                  <w:tcBorders>
                    <w:top w:val="nil"/>
                    <w:left w:val="nil"/>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CÓDIGO FICHA TÉCNICA</w:t>
                  </w:r>
                </w:p>
              </w:tc>
              <w:tc>
                <w:tcPr>
                  <w:tcW w:w="3094" w:type="dxa"/>
                  <w:tcBorders>
                    <w:top w:val="nil"/>
                    <w:left w:val="nil"/>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DESCRIPCIÓN DEL BIEN</w:t>
                  </w:r>
                </w:p>
              </w:tc>
              <w:tc>
                <w:tcPr>
                  <w:tcW w:w="1299" w:type="dxa"/>
                  <w:tcBorders>
                    <w:top w:val="nil"/>
                    <w:left w:val="nil"/>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CANTIDAD</w:t>
                  </w:r>
                </w:p>
              </w:tc>
            </w:tr>
            <w:tr>
              <w:tblPrEx>
                <w:tblLayout w:type="fixed"/>
                <w:tblCellMar>
                  <w:top w:w="0" w:type="dxa"/>
                  <w:left w:w="70" w:type="dxa"/>
                  <w:bottom w:w="0" w:type="dxa"/>
                  <w:right w:w="70" w:type="dxa"/>
                </w:tblCellMar>
              </w:tblPrEx>
              <w:trPr>
                <w:trHeight w:val="600" w:hRule="atLeast"/>
                <w:jc w:val="center"/>
              </w:trPr>
              <w:tc>
                <w:tcPr>
                  <w:tcW w:w="1679" w:type="dxa"/>
                  <w:tcBorders>
                    <w:top w:val="nil"/>
                    <w:left w:val="single" w:color="auto" w:sz="4" w:space="0"/>
                    <w:bottom w:val="single" w:color="auto" w:sz="4" w:space="0"/>
                    <w:right w:val="single" w:color="auto" w:sz="4" w:space="0"/>
                  </w:tcBorders>
                  <w:shd w:val="clear" w:color="auto" w:fill="FFFFFF"/>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1</w:t>
                  </w:r>
                </w:p>
              </w:tc>
              <w:tc>
                <w:tcPr>
                  <w:tcW w:w="2031" w:type="dxa"/>
                  <w:tcBorders>
                    <w:top w:val="nil"/>
                    <w:left w:val="nil"/>
                    <w:bottom w:val="single" w:color="auto" w:sz="4" w:space="0"/>
                    <w:right w:val="single" w:color="auto" w:sz="4" w:space="0"/>
                  </w:tcBorders>
                  <w:shd w:val="clear" w:color="auto" w:fill="FFFFFF"/>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color w:val="000000"/>
                      <w:sz w:val="18"/>
                      <w:szCs w:val="18"/>
                      <w:lang w:val="es-EC" w:eastAsia="es-EC"/>
                    </w:rPr>
                    <w:t>BAL-11-R05</w:t>
                  </w:r>
                </w:p>
              </w:tc>
              <w:tc>
                <w:tcPr>
                  <w:tcW w:w="3094" w:type="dxa"/>
                  <w:tcBorders>
                    <w:top w:val="nil"/>
                    <w:left w:val="nil"/>
                    <w:bottom w:val="single" w:color="auto" w:sz="4" w:space="0"/>
                    <w:right w:val="single" w:color="auto" w:sz="4" w:space="0"/>
                  </w:tcBorders>
                  <w:shd w:val="clear" w:color="auto" w:fill="FFFFFF"/>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color w:val="000000"/>
                      <w:sz w:val="18"/>
                      <w:szCs w:val="18"/>
                      <w:lang w:val="es-EC" w:eastAsia="es-EC"/>
                    </w:rPr>
                    <w:t>BALANZA DE PRECISIÓN DE 6 A 7 Kg</w:t>
                  </w:r>
                </w:p>
              </w:tc>
              <w:tc>
                <w:tcPr>
                  <w:tcW w:w="1299" w:type="dxa"/>
                  <w:tcBorders>
                    <w:top w:val="nil"/>
                    <w:left w:val="nil"/>
                    <w:bottom w:val="single" w:color="auto" w:sz="4" w:space="0"/>
                    <w:right w:val="single" w:color="auto" w:sz="4" w:space="0"/>
                  </w:tcBorders>
                  <w:shd w:val="clear" w:color="auto" w:fill="FFFFFF"/>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3</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BAL-15-R05</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BALANZA PESA ÓRGANOS Y PAÑALES</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6</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PES-01-R08</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PESABEBÉS ELECTRÓNICO</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9</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FON-02-R08</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FONENDOSCOPIO NEONATAL</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48</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INC-01-R07</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INCUBADORA </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11</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6</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INC-02-R09</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INCUBADORA PARA TRANSPORTE CON VENTILADOR Y MONITOR</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7</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MES-47-R08</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MESA MAYO</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3</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8</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MON-10-R07</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MONITOR DE SIGNOS VITALES PARA CUIDADO INTENSIVO / ANESTESIOLOGÍA</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20</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9</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MON-12-R08</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MONITOR DE SIGNOS VITALES PORTÁTIL PARA NIBP &amp;SPO2</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9</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10</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RES-10-R03</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 DE ALTA FRECUENCIA</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3</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11</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RES-03-R08</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8</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12</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RES-02-R06</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DE TRANSPORTE INTRAHOSPITALARIO</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13</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EQU-02-R07</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EQUIPO DE REANIMACIÓN NEONATAL</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25</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14</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VAC-01-R07</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VACUÓMETRO</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15</w:t>
                  </w:r>
                </w:p>
              </w:tc>
            </w:tr>
            <w:tr>
              <w:tblPrEx>
                <w:tblLayout w:type="fixed"/>
                <w:tblCellMar>
                  <w:top w:w="0" w:type="dxa"/>
                  <w:left w:w="70" w:type="dxa"/>
                  <w:bottom w:w="0" w:type="dxa"/>
                  <w:right w:w="70" w:type="dxa"/>
                </w:tblCellMar>
              </w:tblPrEx>
              <w:trPr>
                <w:trHeight w:val="510" w:hRule="atLeast"/>
                <w:jc w:val="center"/>
              </w:trPr>
              <w:tc>
                <w:tcPr>
                  <w:tcW w:w="167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15</w:t>
                  </w:r>
                </w:p>
              </w:tc>
              <w:tc>
                <w:tcPr>
                  <w:tcW w:w="20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CUN-02-R06</w:t>
                  </w:r>
                </w:p>
              </w:tc>
              <w:tc>
                <w:tcPr>
                  <w:tcW w:w="30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CUNA DE CALOR RADIANTE CON SISTEMA DE GASES</w:t>
                  </w:r>
                </w:p>
              </w:tc>
              <w:tc>
                <w:tcPr>
                  <w:tcW w:w="129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16</w:t>
                  </w:r>
                </w:p>
              </w:tc>
            </w:tr>
            <w:tr>
              <w:tblPrEx>
                <w:tblLayout w:type="fixed"/>
                <w:tblCellMar>
                  <w:top w:w="0" w:type="dxa"/>
                  <w:left w:w="70" w:type="dxa"/>
                  <w:bottom w:w="0" w:type="dxa"/>
                  <w:right w:w="70" w:type="dxa"/>
                </w:tblCellMar>
              </w:tblPrEx>
              <w:trPr>
                <w:trHeight w:val="510" w:hRule="atLeast"/>
                <w:jc w:val="center"/>
              </w:trPr>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16</w:t>
                  </w:r>
                </w:p>
              </w:tc>
              <w:tc>
                <w:tcPr>
                  <w:tcW w:w="203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CUN-01-R06</w:t>
                  </w:r>
                </w:p>
              </w:tc>
              <w:tc>
                <w:tcPr>
                  <w:tcW w:w="309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CUNA DE CALOR RADIANTE</w:t>
                  </w:r>
                </w:p>
              </w:tc>
              <w:tc>
                <w:tcPr>
                  <w:tcW w:w="129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13</w:t>
                  </w:r>
                </w:p>
              </w:tc>
            </w:tr>
            <w:tr>
              <w:tblPrEx>
                <w:tblLayout w:type="fixed"/>
                <w:tblCellMar>
                  <w:top w:w="0" w:type="dxa"/>
                  <w:left w:w="70" w:type="dxa"/>
                  <w:bottom w:w="0" w:type="dxa"/>
                  <w:right w:w="70" w:type="dxa"/>
                </w:tblCellMar>
              </w:tblPrEx>
              <w:trPr>
                <w:trHeight w:val="510" w:hRule="atLeast"/>
                <w:jc w:val="center"/>
              </w:trPr>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17</w:t>
                  </w:r>
                </w:p>
              </w:tc>
              <w:tc>
                <w:tcPr>
                  <w:tcW w:w="203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CPA-01-R06</w:t>
                  </w:r>
                </w:p>
              </w:tc>
              <w:tc>
                <w:tcPr>
                  <w:tcW w:w="309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CPAP NASAL PARA NEONATOS</w:t>
                  </w:r>
                </w:p>
              </w:tc>
              <w:tc>
                <w:tcPr>
                  <w:tcW w:w="129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3</w:t>
                  </w:r>
                </w:p>
              </w:tc>
            </w:tr>
            <w:tr>
              <w:tblPrEx>
                <w:tblLayout w:type="fixed"/>
                <w:tblCellMar>
                  <w:top w:w="0" w:type="dxa"/>
                  <w:left w:w="70" w:type="dxa"/>
                  <w:bottom w:w="0" w:type="dxa"/>
                  <w:right w:w="70" w:type="dxa"/>
                </w:tblCellMar>
              </w:tblPrEx>
              <w:trPr>
                <w:trHeight w:val="510" w:hRule="atLeast"/>
                <w:jc w:val="center"/>
              </w:trPr>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18</w:t>
                  </w:r>
                </w:p>
              </w:tc>
              <w:tc>
                <w:tcPr>
                  <w:tcW w:w="203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LÁM-01-R07</w:t>
                  </w:r>
                </w:p>
              </w:tc>
              <w:tc>
                <w:tcPr>
                  <w:tcW w:w="309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LÁMPARA DE FOTOTERAPIA</w:t>
                  </w:r>
                </w:p>
              </w:tc>
              <w:tc>
                <w:tcPr>
                  <w:tcW w:w="129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15</w:t>
                  </w:r>
                </w:p>
              </w:tc>
            </w:tr>
            <w:tr>
              <w:tblPrEx>
                <w:tblLayout w:type="fixed"/>
                <w:tblCellMar>
                  <w:top w:w="0" w:type="dxa"/>
                  <w:left w:w="70" w:type="dxa"/>
                  <w:bottom w:w="0" w:type="dxa"/>
                  <w:right w:w="70" w:type="dxa"/>
                </w:tblCellMar>
              </w:tblPrEx>
              <w:trPr>
                <w:trHeight w:val="510" w:hRule="atLeast"/>
                <w:jc w:val="center"/>
              </w:trPr>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19</w:t>
                  </w:r>
                </w:p>
              </w:tc>
              <w:tc>
                <w:tcPr>
                  <w:tcW w:w="203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LAR-02-R08</w:t>
                  </w:r>
                </w:p>
              </w:tc>
              <w:tc>
                <w:tcPr>
                  <w:tcW w:w="309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LARINGOSCOPIO NEONATAL</w:t>
                  </w:r>
                </w:p>
              </w:tc>
              <w:tc>
                <w:tcPr>
                  <w:tcW w:w="129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6</w:t>
                  </w:r>
                </w:p>
              </w:tc>
            </w:tr>
            <w:tr>
              <w:tblPrEx>
                <w:tblLayout w:type="fixed"/>
                <w:tblCellMar>
                  <w:top w:w="0" w:type="dxa"/>
                  <w:left w:w="70" w:type="dxa"/>
                  <w:bottom w:w="0" w:type="dxa"/>
                  <w:right w:w="70" w:type="dxa"/>
                </w:tblCellMar>
              </w:tblPrEx>
              <w:trPr>
                <w:trHeight w:val="510" w:hRule="atLeast"/>
                <w:jc w:val="center"/>
              </w:trPr>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20</w:t>
                  </w:r>
                </w:p>
              </w:tc>
              <w:tc>
                <w:tcPr>
                  <w:tcW w:w="203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ASP-03-R09</w:t>
                  </w:r>
                </w:p>
              </w:tc>
              <w:tc>
                <w:tcPr>
                  <w:tcW w:w="309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ASPIRADOR PORTÁTIL</w:t>
                  </w:r>
                </w:p>
              </w:tc>
              <w:tc>
                <w:tcPr>
                  <w:tcW w:w="129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7</w:t>
                  </w:r>
                </w:p>
              </w:tc>
            </w:tr>
            <w:tr>
              <w:tblPrEx>
                <w:tblLayout w:type="fixed"/>
                <w:tblCellMar>
                  <w:top w:w="0" w:type="dxa"/>
                  <w:left w:w="70" w:type="dxa"/>
                  <w:bottom w:w="0" w:type="dxa"/>
                  <w:right w:w="70" w:type="dxa"/>
                </w:tblCellMar>
              </w:tblPrEx>
              <w:trPr>
                <w:trHeight w:val="510" w:hRule="atLeast"/>
                <w:jc w:val="center"/>
              </w:trPr>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21</w:t>
                  </w:r>
                </w:p>
              </w:tc>
              <w:tc>
                <w:tcPr>
                  <w:tcW w:w="203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BIL-01-R05</w:t>
                  </w:r>
                </w:p>
              </w:tc>
              <w:tc>
                <w:tcPr>
                  <w:tcW w:w="309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BILIRRUBINÓMETRO PORTÁTIL PARA NEONATOS</w:t>
                  </w:r>
                </w:p>
              </w:tc>
              <w:tc>
                <w:tcPr>
                  <w:tcW w:w="129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w:t>
                  </w:r>
                </w:p>
              </w:tc>
            </w:tr>
            <w:tr>
              <w:tblPrEx>
                <w:tblLayout w:type="fixed"/>
                <w:tblCellMar>
                  <w:top w:w="0" w:type="dxa"/>
                  <w:left w:w="70" w:type="dxa"/>
                  <w:bottom w:w="0" w:type="dxa"/>
                  <w:right w:w="70" w:type="dxa"/>
                </w:tblCellMar>
              </w:tblPrEx>
              <w:trPr>
                <w:trHeight w:val="510" w:hRule="atLeast"/>
                <w:jc w:val="center"/>
              </w:trPr>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22</w:t>
                  </w:r>
                </w:p>
              </w:tc>
              <w:tc>
                <w:tcPr>
                  <w:tcW w:w="203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RAY-05-R02</w:t>
                  </w:r>
                </w:p>
              </w:tc>
              <w:tc>
                <w:tcPr>
                  <w:tcW w:w="3094"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UNIDAD DE RX DIGITAL MÓVIL PARA USO PEDIÁTRICO/NEONATAL, CON MONITOR INTEGRADO PARA VISUALIZACIÓN DE IMÁGENES</w:t>
                  </w:r>
                </w:p>
              </w:tc>
              <w:tc>
                <w:tcPr>
                  <w:tcW w:w="129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w:t>
                  </w:r>
                </w:p>
              </w:tc>
            </w:tr>
            <w:tr>
              <w:tblPrEx>
                <w:tblLayout w:type="fixed"/>
                <w:tblCellMar>
                  <w:top w:w="0" w:type="dxa"/>
                  <w:left w:w="70" w:type="dxa"/>
                  <w:bottom w:w="0" w:type="dxa"/>
                  <w:right w:w="70" w:type="dxa"/>
                </w:tblCellMar>
              </w:tblPrEx>
              <w:trPr>
                <w:trHeight w:val="510" w:hRule="atLeast"/>
                <w:jc w:val="center"/>
              </w:trPr>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23</w:t>
                  </w:r>
                </w:p>
              </w:tc>
              <w:tc>
                <w:tcPr>
                  <w:tcW w:w="203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CEN-02-R07</w:t>
                  </w:r>
                </w:p>
              </w:tc>
              <w:tc>
                <w:tcPr>
                  <w:tcW w:w="309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CENTRAL DE MONITOREO DE TREINTA Y DOS TERMINALES</w:t>
                  </w:r>
                </w:p>
              </w:tc>
              <w:tc>
                <w:tcPr>
                  <w:tcW w:w="129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w:t>
                  </w:r>
                </w:p>
              </w:tc>
            </w:tr>
            <w:tr>
              <w:tblPrEx>
                <w:tblLayout w:type="fixed"/>
                <w:tblCellMar>
                  <w:top w:w="0" w:type="dxa"/>
                  <w:left w:w="70" w:type="dxa"/>
                  <w:bottom w:w="0" w:type="dxa"/>
                  <w:right w:w="70" w:type="dxa"/>
                </w:tblCellMar>
              </w:tblPrEx>
              <w:trPr>
                <w:trHeight w:val="510" w:hRule="atLeast"/>
                <w:jc w:val="center"/>
              </w:trPr>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24</w:t>
                  </w:r>
                </w:p>
              </w:tc>
              <w:tc>
                <w:tcPr>
                  <w:tcW w:w="203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ANA-15-R06</w:t>
                  </w:r>
                </w:p>
              </w:tc>
              <w:tc>
                <w:tcPr>
                  <w:tcW w:w="309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ANALIZADOR PORTÁTIL DE GASES Y ELECTROLITOS EN SANGRE</w:t>
                  </w:r>
                </w:p>
              </w:tc>
              <w:tc>
                <w:tcPr>
                  <w:tcW w:w="129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w:t>
                  </w:r>
                </w:p>
              </w:tc>
            </w:tr>
          </w:tbl>
          <w:p>
            <w:pPr>
              <w:tabs>
                <w:tab w:val="right" w:pos="7272"/>
              </w:tabs>
              <w:spacing w:before="60" w:after="60" w:line="240" w:lineRule="auto"/>
              <w:jc w:val="both"/>
              <w:rPr>
                <w:rFonts w:eastAsia="Times New Roman" w:asciiTheme="minorHAnsi" w:hAnsiTheme="minorHAnsi" w:cstheme="minorHAnsi"/>
                <w:color w:val="92D050"/>
                <w:sz w:val="20"/>
                <w:szCs w:val="20"/>
                <w:lang w:val="es-EC"/>
              </w:rPr>
            </w:pPr>
          </w:p>
          <w:tbl>
            <w:tblPr>
              <w:tblStyle w:val="46"/>
              <w:tblW w:w="7485" w:type="dxa"/>
              <w:jc w:val="center"/>
              <w:tblInd w:w="0" w:type="dxa"/>
              <w:tblLayout w:type="fixed"/>
              <w:tblCellMar>
                <w:top w:w="0" w:type="dxa"/>
                <w:left w:w="70" w:type="dxa"/>
                <w:bottom w:w="0" w:type="dxa"/>
                <w:right w:w="70" w:type="dxa"/>
              </w:tblCellMar>
            </w:tblPr>
            <w:tblGrid>
              <w:gridCol w:w="1451"/>
              <w:gridCol w:w="1984"/>
              <w:gridCol w:w="3119"/>
              <w:gridCol w:w="931"/>
            </w:tblGrid>
            <w:tr>
              <w:tblPrEx>
                <w:tblLayout w:type="fixed"/>
                <w:tblCellMar>
                  <w:top w:w="0" w:type="dxa"/>
                  <w:left w:w="70" w:type="dxa"/>
                  <w:bottom w:w="0" w:type="dxa"/>
                  <w:right w:w="70" w:type="dxa"/>
                </w:tblCellMar>
              </w:tblPrEx>
              <w:trPr>
                <w:trHeight w:val="300" w:hRule="atLeast"/>
                <w:jc w:val="center"/>
              </w:trPr>
              <w:tc>
                <w:tcPr>
                  <w:tcW w:w="7485" w:type="dxa"/>
                  <w:gridSpan w:val="4"/>
                  <w:tcBorders>
                    <w:top w:val="single" w:color="auto" w:sz="4" w:space="0"/>
                    <w:left w:val="single" w:color="auto" w:sz="4" w:space="0"/>
                    <w:bottom w:val="single" w:color="auto" w:sz="4" w:space="0"/>
                    <w:right w:val="single" w:color="auto" w:sz="4" w:space="0"/>
                  </w:tcBorders>
                  <w:shd w:val="clear" w:color="auto" w:fill="C2D69B"/>
                  <w:vAlign w:val="center"/>
                </w:tcPr>
                <w:p>
                  <w:pPr>
                    <w:tabs>
                      <w:tab w:val="right" w:pos="7272"/>
                    </w:tabs>
                    <w:spacing w:before="60" w:after="6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 xml:space="preserve">LOTE Nro. </w:t>
                  </w:r>
                  <w:r>
                    <w:rPr>
                      <w:rFonts w:eastAsia="Times New Roman" w:asciiTheme="minorHAnsi" w:hAnsiTheme="minorHAnsi" w:cstheme="minorHAnsi"/>
                      <w:b/>
                      <w:bCs/>
                      <w:sz w:val="18"/>
                      <w:szCs w:val="18"/>
                      <w:lang w:val="es-EC" w:eastAsia="es-EC"/>
                    </w:rPr>
                    <w:t>ZONA 9 (HOSPITAL GINECO - OBSTÉTRICO ISIDRO AYORA)</w:t>
                  </w:r>
                </w:p>
              </w:tc>
            </w:tr>
            <w:tr>
              <w:tblPrEx>
                <w:tblLayout w:type="fixed"/>
                <w:tblCellMar>
                  <w:top w:w="0" w:type="dxa"/>
                  <w:left w:w="70" w:type="dxa"/>
                  <w:bottom w:w="0" w:type="dxa"/>
                  <w:right w:w="70" w:type="dxa"/>
                </w:tblCellMar>
              </w:tblPrEx>
              <w:trPr>
                <w:trHeight w:val="600" w:hRule="atLeast"/>
                <w:jc w:val="center"/>
              </w:trPr>
              <w:tc>
                <w:tcPr>
                  <w:tcW w:w="1451" w:type="dxa"/>
                  <w:tcBorders>
                    <w:top w:val="nil"/>
                    <w:left w:val="single" w:color="auto" w:sz="4" w:space="0"/>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Nro. de Artículo</w:t>
                  </w:r>
                </w:p>
              </w:tc>
              <w:tc>
                <w:tcPr>
                  <w:tcW w:w="1984" w:type="dxa"/>
                  <w:tcBorders>
                    <w:top w:val="nil"/>
                    <w:left w:val="nil"/>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CÓDIGO FICHA TÉCNICA</w:t>
                  </w:r>
                </w:p>
              </w:tc>
              <w:tc>
                <w:tcPr>
                  <w:tcW w:w="3119" w:type="dxa"/>
                  <w:tcBorders>
                    <w:top w:val="nil"/>
                    <w:left w:val="nil"/>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b/>
                      <w:bCs/>
                      <w:color w:val="000000"/>
                      <w:sz w:val="18"/>
                      <w:szCs w:val="18"/>
                      <w:lang w:val="es-EC" w:eastAsia="es-EC"/>
                    </w:rPr>
                    <w:t>DESCRIPCIÓN DEL BIEN</w:t>
                  </w:r>
                </w:p>
              </w:tc>
              <w:tc>
                <w:tcPr>
                  <w:tcW w:w="931" w:type="dxa"/>
                  <w:tcBorders>
                    <w:top w:val="nil"/>
                    <w:left w:val="nil"/>
                    <w:bottom w:val="single" w:color="auto" w:sz="4" w:space="0"/>
                    <w:right w:val="single" w:color="auto" w:sz="4" w:space="0"/>
                  </w:tcBorders>
                  <w:shd w:val="clear" w:color="auto" w:fill="DAEEF3"/>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b/>
                      <w:bCs/>
                      <w:color w:val="000000"/>
                      <w:sz w:val="18"/>
                      <w:szCs w:val="18"/>
                      <w:lang w:val="es-EC" w:eastAsia="es-EC"/>
                    </w:rPr>
                    <w:t>CANTIDAD</w:t>
                  </w:r>
                </w:p>
              </w:tc>
            </w:tr>
            <w:tr>
              <w:tblPrEx>
                <w:tblLayout w:type="fixed"/>
                <w:tblCellMar>
                  <w:top w:w="0" w:type="dxa"/>
                  <w:left w:w="70" w:type="dxa"/>
                  <w:bottom w:w="0" w:type="dxa"/>
                  <w:right w:w="70" w:type="dxa"/>
                </w:tblCellMar>
              </w:tblPrEx>
              <w:trPr>
                <w:trHeight w:val="300"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198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RES-03-R08</w:t>
                  </w:r>
                </w:p>
              </w:tc>
              <w:tc>
                <w:tcPr>
                  <w:tcW w:w="31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w:t>
                  </w:r>
                </w:p>
              </w:tc>
              <w:tc>
                <w:tcPr>
                  <w:tcW w:w="9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10</w:t>
                  </w:r>
                </w:p>
              </w:tc>
            </w:tr>
            <w:tr>
              <w:tblPrEx>
                <w:tblLayout w:type="fixed"/>
                <w:tblCellMar>
                  <w:top w:w="0" w:type="dxa"/>
                  <w:left w:w="70" w:type="dxa"/>
                  <w:bottom w:w="0" w:type="dxa"/>
                  <w:right w:w="70" w:type="dxa"/>
                </w:tblCellMar>
              </w:tblPrEx>
              <w:trPr>
                <w:trHeight w:val="600"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198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RES-10-R03</w:t>
                  </w:r>
                </w:p>
              </w:tc>
              <w:tc>
                <w:tcPr>
                  <w:tcW w:w="31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 DE ALTA FRECUENCIA</w:t>
                  </w:r>
                </w:p>
              </w:tc>
              <w:tc>
                <w:tcPr>
                  <w:tcW w:w="9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10</w:t>
                  </w:r>
                </w:p>
              </w:tc>
            </w:tr>
            <w:tr>
              <w:tblPrEx>
                <w:tblLayout w:type="fixed"/>
                <w:tblCellMar>
                  <w:top w:w="0" w:type="dxa"/>
                  <w:left w:w="70" w:type="dxa"/>
                  <w:bottom w:w="0" w:type="dxa"/>
                  <w:right w:w="70" w:type="dxa"/>
                </w:tblCellMar>
              </w:tblPrEx>
              <w:trPr>
                <w:trHeight w:val="300"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198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CPA-01-R06</w:t>
                  </w:r>
                </w:p>
              </w:tc>
              <w:tc>
                <w:tcPr>
                  <w:tcW w:w="31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CPAP NASAL PARA NEONATOS</w:t>
                  </w:r>
                </w:p>
              </w:tc>
              <w:tc>
                <w:tcPr>
                  <w:tcW w:w="9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5</w:t>
                  </w:r>
                </w:p>
              </w:tc>
            </w:tr>
            <w:tr>
              <w:tblPrEx>
                <w:tblLayout w:type="fixed"/>
                <w:tblCellMar>
                  <w:top w:w="0" w:type="dxa"/>
                  <w:left w:w="70" w:type="dxa"/>
                  <w:bottom w:w="0" w:type="dxa"/>
                  <w:right w:w="70" w:type="dxa"/>
                </w:tblCellMar>
              </w:tblPrEx>
              <w:trPr>
                <w:trHeight w:val="300"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198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INC-01-R07</w:t>
                  </w:r>
                </w:p>
              </w:tc>
              <w:tc>
                <w:tcPr>
                  <w:tcW w:w="31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INCUBADORA </w:t>
                  </w:r>
                </w:p>
              </w:tc>
              <w:tc>
                <w:tcPr>
                  <w:tcW w:w="9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20</w:t>
                  </w:r>
                </w:p>
              </w:tc>
            </w:tr>
            <w:tr>
              <w:tblPrEx>
                <w:tblLayout w:type="fixed"/>
                <w:tblCellMar>
                  <w:top w:w="0" w:type="dxa"/>
                  <w:left w:w="70" w:type="dxa"/>
                  <w:bottom w:w="0" w:type="dxa"/>
                  <w:right w:w="70" w:type="dxa"/>
                </w:tblCellMar>
              </w:tblPrEx>
              <w:trPr>
                <w:trHeight w:val="600"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198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CUN-02-R06</w:t>
                  </w:r>
                </w:p>
              </w:tc>
              <w:tc>
                <w:tcPr>
                  <w:tcW w:w="31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CUNA DE CALOR RADIANTE CON SISTEMA DE GASES</w:t>
                  </w:r>
                </w:p>
              </w:tc>
              <w:tc>
                <w:tcPr>
                  <w:tcW w:w="9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20</w:t>
                  </w:r>
                </w:p>
              </w:tc>
            </w:tr>
            <w:tr>
              <w:tblPrEx>
                <w:tblLayout w:type="fixed"/>
                <w:tblCellMar>
                  <w:top w:w="0" w:type="dxa"/>
                  <w:left w:w="70" w:type="dxa"/>
                  <w:bottom w:w="0" w:type="dxa"/>
                  <w:right w:w="70" w:type="dxa"/>
                </w:tblCellMar>
              </w:tblPrEx>
              <w:trPr>
                <w:trHeight w:val="600"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6</w:t>
                  </w:r>
                </w:p>
              </w:tc>
              <w:tc>
                <w:tcPr>
                  <w:tcW w:w="198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BIL-01-R05</w:t>
                  </w:r>
                </w:p>
              </w:tc>
              <w:tc>
                <w:tcPr>
                  <w:tcW w:w="31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BILIRRUBINÓMETRO PORTÁTIL PARA NEONATOS</w:t>
                  </w:r>
                </w:p>
              </w:tc>
              <w:tc>
                <w:tcPr>
                  <w:tcW w:w="9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1</w:t>
                  </w:r>
                </w:p>
              </w:tc>
            </w:tr>
            <w:tr>
              <w:tblPrEx>
                <w:tblLayout w:type="fixed"/>
                <w:tblCellMar>
                  <w:top w:w="0" w:type="dxa"/>
                  <w:left w:w="70" w:type="dxa"/>
                  <w:bottom w:w="0" w:type="dxa"/>
                  <w:right w:w="70" w:type="dxa"/>
                </w:tblCellMar>
              </w:tblPrEx>
              <w:trPr>
                <w:trHeight w:val="300"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7</w:t>
                  </w:r>
                </w:p>
              </w:tc>
              <w:tc>
                <w:tcPr>
                  <w:tcW w:w="198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LÁM-01-R07</w:t>
                  </w:r>
                </w:p>
              </w:tc>
              <w:tc>
                <w:tcPr>
                  <w:tcW w:w="31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LÁMPARA DE FOTOTERAPIA</w:t>
                  </w:r>
                </w:p>
              </w:tc>
              <w:tc>
                <w:tcPr>
                  <w:tcW w:w="9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20</w:t>
                  </w:r>
                </w:p>
              </w:tc>
            </w:tr>
            <w:tr>
              <w:tblPrEx>
                <w:tblLayout w:type="fixed"/>
                <w:tblCellMar>
                  <w:top w:w="0" w:type="dxa"/>
                  <w:left w:w="70" w:type="dxa"/>
                  <w:bottom w:w="0" w:type="dxa"/>
                  <w:right w:w="70" w:type="dxa"/>
                </w:tblCellMar>
              </w:tblPrEx>
              <w:trPr>
                <w:trHeight w:val="900"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8</w:t>
                  </w:r>
                </w:p>
              </w:tc>
              <w:tc>
                <w:tcPr>
                  <w:tcW w:w="198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INC-02-R09</w:t>
                  </w:r>
                </w:p>
              </w:tc>
              <w:tc>
                <w:tcPr>
                  <w:tcW w:w="31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INCUBADORA PARA TRANSPORTE CON VENTILADOR Y MONITOR</w:t>
                  </w:r>
                </w:p>
              </w:tc>
              <w:tc>
                <w:tcPr>
                  <w:tcW w:w="9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2</w:t>
                  </w:r>
                </w:p>
              </w:tc>
            </w:tr>
          </w:tbl>
          <w:p>
            <w:pPr>
              <w:tabs>
                <w:tab w:val="right" w:pos="7272"/>
              </w:tabs>
              <w:spacing w:before="60" w:after="60" w:line="240" w:lineRule="auto"/>
              <w:jc w:val="center"/>
              <w:rPr>
                <w:rFonts w:eastAsia="Times New Roman" w:asciiTheme="minorHAnsi" w:hAnsiTheme="minorHAnsi" w:cstheme="minorHAnsi"/>
                <w:b/>
                <w:sz w:val="20"/>
                <w:szCs w:val="20"/>
                <w:lang w:val="es-EC"/>
              </w:rPr>
            </w:pPr>
          </w:p>
          <w:tbl>
            <w:tblPr>
              <w:tblStyle w:val="46"/>
              <w:tblW w:w="6945" w:type="dxa"/>
              <w:tblInd w:w="4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5" w:type="dxa"/>
                  <w:gridSpan w:val="2"/>
                  <w:shd w:val="clear" w:color="auto" w:fill="C2D69B"/>
                  <w:vAlign w:val="center"/>
                </w:tcPr>
                <w:p>
                  <w:pPr>
                    <w:tabs>
                      <w:tab w:val="right" w:pos="7272"/>
                    </w:tabs>
                    <w:spacing w:before="60" w:after="60" w:line="240" w:lineRule="auto"/>
                    <w:jc w:val="center"/>
                    <w:rPr>
                      <w:rFonts w:eastAsia="Times New Roman" w:asciiTheme="minorHAnsi" w:hAnsiTheme="minorHAnsi" w:cstheme="minorHAnsi"/>
                      <w:b/>
                      <w:sz w:val="18"/>
                      <w:szCs w:val="18"/>
                      <w:lang w:val="es-EC"/>
                    </w:rPr>
                  </w:pPr>
                  <w:r>
                    <w:rPr>
                      <w:rFonts w:eastAsia="Times New Roman" w:asciiTheme="minorHAnsi" w:hAnsiTheme="minorHAnsi" w:cstheme="minorHAnsi"/>
                      <w:b/>
                      <w:sz w:val="20"/>
                      <w:szCs w:val="20"/>
                      <w:lang w:val="es-EC"/>
                    </w:rPr>
                    <w:t>SERVICIOS CONEXOS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shd w:val="clear" w:color="auto" w:fill="B6DDE8" w:themeFill="accent5" w:themeFillTint="66"/>
                  <w:vAlign w:val="center"/>
                </w:tcPr>
                <w:p>
                  <w:pPr>
                    <w:tabs>
                      <w:tab w:val="right" w:pos="7272"/>
                    </w:tabs>
                    <w:spacing w:before="60" w:after="60" w:line="240" w:lineRule="auto"/>
                    <w:jc w:val="center"/>
                    <w:rPr>
                      <w:rFonts w:eastAsia="Times New Roman" w:asciiTheme="minorHAnsi" w:hAnsiTheme="minorHAnsi" w:cstheme="minorHAnsi"/>
                      <w:b/>
                      <w:sz w:val="18"/>
                      <w:szCs w:val="18"/>
                      <w:lang w:val="es-EC"/>
                    </w:rPr>
                  </w:pPr>
                  <w:r>
                    <w:rPr>
                      <w:rFonts w:eastAsia="Times New Roman" w:asciiTheme="minorHAnsi" w:hAnsiTheme="minorHAnsi" w:cstheme="minorHAnsi"/>
                      <w:b/>
                      <w:color w:val="000000"/>
                      <w:sz w:val="18"/>
                      <w:szCs w:val="18"/>
                      <w:lang w:val="es-EC" w:eastAsia="es-EC"/>
                    </w:rPr>
                    <w:t>Descripción</w:t>
                  </w:r>
                </w:p>
              </w:tc>
              <w:tc>
                <w:tcPr>
                  <w:tcW w:w="4110" w:type="dxa"/>
                  <w:shd w:val="clear" w:color="auto" w:fill="B6DDE8" w:themeFill="accent5" w:themeFillTint="66"/>
                  <w:vAlign w:val="center"/>
                </w:tcPr>
                <w:p>
                  <w:pPr>
                    <w:tabs>
                      <w:tab w:val="right" w:pos="7272"/>
                    </w:tabs>
                    <w:spacing w:before="60" w:after="60" w:line="240" w:lineRule="auto"/>
                    <w:jc w:val="center"/>
                    <w:rPr>
                      <w:rFonts w:eastAsia="Times New Roman" w:asciiTheme="minorHAnsi" w:hAnsiTheme="minorHAnsi" w:cstheme="minorHAnsi"/>
                      <w:b/>
                      <w:sz w:val="18"/>
                      <w:szCs w:val="18"/>
                      <w:lang w:val="es-EC"/>
                    </w:rPr>
                  </w:pPr>
                  <w:r>
                    <w:rPr>
                      <w:rFonts w:eastAsia="Times New Roman" w:asciiTheme="minorHAnsi" w:hAnsiTheme="minorHAnsi" w:cstheme="minorHAnsi"/>
                      <w:b/>
                      <w:sz w:val="18"/>
                      <w:szCs w:val="18"/>
                      <w:lang w:val="es-EC"/>
                    </w:rPr>
                    <w:t>Cantidad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vAlign w:val="center"/>
                </w:tcPr>
                <w:p>
                  <w:pPr>
                    <w:tabs>
                      <w:tab w:val="right" w:pos="7272"/>
                    </w:tabs>
                    <w:spacing w:before="60" w:after="60" w:line="240" w:lineRule="auto"/>
                    <w:jc w:val="center"/>
                    <w:rPr>
                      <w:rFonts w:eastAsia="Times New Roman" w:asciiTheme="minorHAnsi" w:hAnsiTheme="minorHAnsi" w:cstheme="minorHAnsi"/>
                      <w:b/>
                      <w:sz w:val="18"/>
                      <w:szCs w:val="18"/>
                      <w:lang w:val="es-EC"/>
                    </w:rPr>
                  </w:pPr>
                  <w:r>
                    <w:rPr>
                      <w:rFonts w:eastAsia="Times New Roman" w:asciiTheme="minorHAnsi" w:hAnsiTheme="minorHAnsi" w:cstheme="minorHAnsi"/>
                      <w:color w:val="000000"/>
                      <w:sz w:val="18"/>
                      <w:szCs w:val="18"/>
                      <w:lang w:val="es-EC" w:eastAsia="es-EC"/>
                    </w:rPr>
                    <w:t>Capacitación técnica en instalación</w:t>
                  </w:r>
                </w:p>
              </w:tc>
              <w:tc>
                <w:tcPr>
                  <w:tcW w:w="4110" w:type="dxa"/>
                  <w:vAlign w:val="center"/>
                </w:tcPr>
                <w:p>
                  <w:pPr>
                    <w:tabs>
                      <w:tab w:val="right" w:pos="7272"/>
                    </w:tabs>
                    <w:spacing w:before="60" w:after="60" w:line="240" w:lineRule="auto"/>
                    <w:jc w:val="center"/>
                    <w:rPr>
                      <w:rFonts w:eastAsia="Times New Roman" w:asciiTheme="minorHAnsi" w:hAnsiTheme="minorHAnsi" w:cstheme="minorHAnsi"/>
                      <w:sz w:val="18"/>
                      <w:szCs w:val="18"/>
                      <w:lang w:val="es-EC"/>
                    </w:rPr>
                  </w:pPr>
                  <w:r>
                    <w:rPr>
                      <w:rFonts w:eastAsia="Times New Roman" w:asciiTheme="minorHAnsi" w:hAnsiTheme="minorHAnsi" w:cstheme="minorHAnsi"/>
                      <w:sz w:val="18"/>
                      <w:szCs w:val="18"/>
                      <w:lang w:val="es-EC"/>
                    </w:rPr>
                    <w:t>4 (en cada Hospital)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vAlign w:val="center"/>
                </w:tcPr>
                <w:p>
                  <w:pPr>
                    <w:tabs>
                      <w:tab w:val="right" w:pos="7272"/>
                    </w:tabs>
                    <w:spacing w:before="60" w:after="60" w:line="240" w:lineRule="auto"/>
                    <w:jc w:val="center"/>
                    <w:rPr>
                      <w:rFonts w:eastAsia="Times New Roman" w:asciiTheme="minorHAnsi" w:hAnsiTheme="minorHAnsi" w:cstheme="minorHAnsi"/>
                      <w:b/>
                      <w:sz w:val="18"/>
                      <w:szCs w:val="18"/>
                      <w:lang w:val="es-EC"/>
                    </w:rPr>
                  </w:pPr>
                  <w:r>
                    <w:rPr>
                      <w:rFonts w:asciiTheme="minorHAnsi" w:hAnsiTheme="minorHAnsi" w:cstheme="minorHAnsi"/>
                      <w:iCs/>
                      <w:sz w:val="18"/>
                      <w:szCs w:val="18"/>
                      <w:lang w:val="es-EC"/>
                    </w:rPr>
                    <w:t>Mantenimiento Preventivo Periódico (Garantía de fábrica)</w:t>
                  </w:r>
                </w:p>
              </w:tc>
              <w:tc>
                <w:tcPr>
                  <w:tcW w:w="4110" w:type="dxa"/>
                  <w:vAlign w:val="center"/>
                </w:tcPr>
                <w:p>
                  <w:pPr>
                    <w:tabs>
                      <w:tab w:val="right" w:pos="7272"/>
                    </w:tabs>
                    <w:spacing w:before="60" w:after="60" w:line="240" w:lineRule="auto"/>
                    <w:jc w:val="center"/>
                    <w:rPr>
                      <w:rFonts w:eastAsia="Times New Roman" w:asciiTheme="minorHAnsi" w:hAnsiTheme="minorHAnsi" w:cstheme="minorHAnsi"/>
                      <w:b/>
                      <w:sz w:val="18"/>
                      <w:szCs w:val="18"/>
                      <w:lang w:val="es-EC"/>
                    </w:rPr>
                  </w:pPr>
                  <w:r>
                    <w:rPr>
                      <w:rFonts w:asciiTheme="minorHAnsi" w:hAnsiTheme="minorHAnsi" w:cstheme="minorHAnsi"/>
                      <w:iCs/>
                      <w:sz w:val="18"/>
                      <w:szCs w:val="18"/>
                      <w:lang w:val="es-EC"/>
                    </w:rPr>
                    <w:t>(Según lo establecido en cada equipo – especificaciones técnicas)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vAlign w:val="center"/>
                </w:tcPr>
                <w:p>
                  <w:pPr>
                    <w:pStyle w:val="64"/>
                    <w:spacing w:after="120" w:line="240" w:lineRule="auto"/>
                    <w:ind w:left="0"/>
                    <w:jc w:val="center"/>
                    <w:rPr>
                      <w:rFonts w:asciiTheme="minorHAnsi" w:hAnsiTheme="minorHAnsi" w:cstheme="minorHAnsi"/>
                      <w:iCs/>
                      <w:sz w:val="18"/>
                      <w:szCs w:val="18"/>
                      <w:lang w:val="es-EC"/>
                    </w:rPr>
                  </w:pPr>
                  <w:r>
                    <w:rPr>
                      <w:rFonts w:asciiTheme="minorHAnsi" w:hAnsiTheme="minorHAnsi" w:cstheme="minorHAnsi"/>
                      <w:iCs/>
                      <w:sz w:val="18"/>
                      <w:szCs w:val="18"/>
                      <w:lang w:val="es-EC"/>
                    </w:rPr>
                    <w:t>Agente afianzado</w:t>
                  </w:r>
                </w:p>
              </w:tc>
              <w:tc>
                <w:tcPr>
                  <w:tcW w:w="4110" w:type="dxa"/>
                  <w:vAlign w:val="center"/>
                </w:tcPr>
                <w:p>
                  <w:pPr>
                    <w:tabs>
                      <w:tab w:val="right" w:pos="7272"/>
                    </w:tabs>
                    <w:spacing w:before="60" w:after="60" w:line="240" w:lineRule="auto"/>
                    <w:jc w:val="center"/>
                    <w:rPr>
                      <w:rFonts w:asciiTheme="minorHAnsi" w:hAnsiTheme="minorHAnsi" w:cstheme="minorHAnsi"/>
                      <w:iCs/>
                      <w:sz w:val="18"/>
                      <w:szCs w:val="18"/>
                      <w:lang w:val="es-EC"/>
                    </w:rPr>
                  </w:pPr>
                  <w:r>
                    <w:rPr>
                      <w:rFonts w:asciiTheme="minorHAnsi" w:hAnsiTheme="minorHAnsi" w:cstheme="minorHAnsi"/>
                      <w:iCs/>
                      <w:sz w:val="18"/>
                      <w:szCs w:val="18"/>
                      <w:lang w:val="es-EC"/>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vAlign w:val="center"/>
                </w:tcPr>
                <w:p>
                  <w:pPr>
                    <w:pStyle w:val="84"/>
                    <w:jc w:val="center"/>
                    <w:rPr>
                      <w:rFonts w:asciiTheme="minorHAnsi" w:hAnsiTheme="minorHAnsi" w:cstheme="minorHAnsi"/>
                      <w:iCs/>
                      <w:color w:val="auto"/>
                      <w:sz w:val="18"/>
                      <w:szCs w:val="18"/>
                      <w:lang w:val="es-EC"/>
                    </w:rPr>
                  </w:pPr>
                  <w:r>
                    <w:rPr>
                      <w:rFonts w:asciiTheme="minorHAnsi" w:hAnsiTheme="minorHAnsi" w:cstheme="minorHAnsi"/>
                      <w:iCs/>
                      <w:color w:val="auto"/>
                      <w:sz w:val="18"/>
                      <w:szCs w:val="18"/>
                      <w:lang w:val="es-EC"/>
                    </w:rPr>
                    <w:t>Instalación y puesta en marcha</w:t>
                  </w:r>
                </w:p>
                <w:p>
                  <w:pPr>
                    <w:pStyle w:val="64"/>
                    <w:spacing w:after="120" w:line="240" w:lineRule="auto"/>
                    <w:ind w:left="0"/>
                    <w:jc w:val="center"/>
                    <w:rPr>
                      <w:rFonts w:asciiTheme="minorHAnsi" w:hAnsiTheme="minorHAnsi" w:cstheme="minorHAnsi"/>
                      <w:iCs/>
                      <w:sz w:val="18"/>
                      <w:szCs w:val="18"/>
                      <w:lang w:val="es-EC"/>
                    </w:rPr>
                  </w:pPr>
                </w:p>
              </w:tc>
              <w:tc>
                <w:tcPr>
                  <w:tcW w:w="4110" w:type="dxa"/>
                  <w:vAlign w:val="center"/>
                </w:tcPr>
                <w:p>
                  <w:pPr>
                    <w:tabs>
                      <w:tab w:val="right" w:pos="7272"/>
                    </w:tabs>
                    <w:spacing w:before="60" w:after="60" w:line="240" w:lineRule="auto"/>
                    <w:jc w:val="center"/>
                    <w:rPr>
                      <w:rFonts w:asciiTheme="minorHAnsi" w:hAnsiTheme="minorHAnsi" w:cstheme="minorHAnsi"/>
                      <w:iCs/>
                      <w:sz w:val="18"/>
                      <w:szCs w:val="18"/>
                      <w:lang w:val="es-EC"/>
                    </w:rPr>
                  </w:pPr>
                  <w:r>
                    <w:rPr>
                      <w:rFonts w:asciiTheme="minorHAnsi" w:hAnsiTheme="minorHAnsi" w:cstheme="minorHAnsi"/>
                      <w:iCs/>
                      <w:sz w:val="18"/>
                      <w:szCs w:val="18"/>
                      <w:lang w:val="es-EC"/>
                    </w:rPr>
                    <w:t>(Según lo establecido en cada equipo – especificaciones técnicas)</w:t>
                  </w:r>
                </w:p>
                <w:p>
                  <w:pPr>
                    <w:tabs>
                      <w:tab w:val="right" w:pos="7272"/>
                    </w:tabs>
                    <w:spacing w:before="60" w:after="60" w:line="240" w:lineRule="auto"/>
                    <w:jc w:val="center"/>
                    <w:rPr>
                      <w:rFonts w:asciiTheme="minorHAnsi" w:hAnsiTheme="minorHAnsi" w:cstheme="minorHAnsi"/>
                      <w:iCs/>
                      <w:sz w:val="18"/>
                      <w:szCs w:val="18"/>
                      <w:lang w:val="es-EC"/>
                    </w:rPr>
                  </w:pPr>
                </w:p>
              </w:tc>
            </w:tr>
          </w:tbl>
          <w:p>
            <w:pPr>
              <w:spacing w:before="60" w:after="60" w:line="240" w:lineRule="auto"/>
              <w:rPr>
                <w:rFonts w:asciiTheme="minorHAnsi" w:hAnsiTheme="minorHAnsi" w:cstheme="minorHAnsi"/>
                <w:bCs/>
                <w:sz w:val="20"/>
                <w:szCs w:val="20"/>
                <w:lang w:val="es-EC"/>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Borders>
              <w:top w:val="single" w:color="000000" w:sz="12" w:space="0"/>
              <w:bottom w:val="nil"/>
            </w:tcBorders>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2.1</w:t>
            </w:r>
          </w:p>
        </w:tc>
        <w:tc>
          <w:tcPr>
            <w:tcW w:w="8334" w:type="dxa"/>
            <w:tcBorders>
              <w:top w:val="single" w:color="000000" w:sz="12" w:space="0"/>
              <w:bottom w:val="nil"/>
            </w:tcBorders>
          </w:tcPr>
          <w:p>
            <w:pPr>
              <w:tabs>
                <w:tab w:val="right" w:pos="7272"/>
              </w:tabs>
              <w:spacing w:before="60" w:after="60" w:line="240" w:lineRule="auto"/>
              <w:jc w:val="both"/>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lang w:val="es-EC"/>
              </w:rPr>
              <w:t xml:space="preserve">El Prestatario es: </w:t>
            </w:r>
            <w:r>
              <w:rPr>
                <w:rFonts w:eastAsia="Times New Roman" w:asciiTheme="minorHAnsi" w:hAnsiTheme="minorHAnsi" w:cstheme="minorHAnsi"/>
                <w:iCs/>
                <w:sz w:val="20"/>
                <w:szCs w:val="20"/>
                <w:lang w:val="es-EC"/>
              </w:rPr>
              <w:t>La República del Ecuador</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Ex>
        <w:trPr>
          <w:trHeight w:val="20" w:hRule="atLeast"/>
        </w:trPr>
        <w:tc>
          <w:tcPr>
            <w:tcW w:w="1134" w:type="dxa"/>
            <w:tcBorders>
              <w:top w:val="single" w:color="000000" w:sz="12" w:space="0"/>
              <w:bottom w:val="single" w:color="000000" w:sz="12" w:space="0"/>
            </w:tcBorders>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2.1</w:t>
            </w:r>
          </w:p>
        </w:tc>
        <w:tc>
          <w:tcPr>
            <w:tcW w:w="8334" w:type="dxa"/>
            <w:tcBorders>
              <w:top w:val="single" w:color="000000" w:sz="12" w:space="0"/>
              <w:bottom w:val="single" w:color="000000" w:sz="12" w:space="0"/>
            </w:tcBorders>
          </w:tcPr>
          <w:p>
            <w:pPr>
              <w:tabs>
                <w:tab w:val="left" w:pos="3942"/>
              </w:tabs>
              <w:jc w:val="both"/>
              <w:rPr>
                <w:rFonts w:eastAsia="Times New Roman" w:asciiTheme="minorHAnsi" w:hAnsiTheme="minorHAnsi" w:cstheme="minorHAnsi"/>
                <w:iCs/>
                <w:sz w:val="20"/>
                <w:szCs w:val="20"/>
                <w:lang w:val="es-EC"/>
              </w:rPr>
            </w:pPr>
            <w:r>
              <w:rPr>
                <w:rFonts w:asciiTheme="minorHAnsi" w:hAnsiTheme="minorHAnsi" w:cstheme="minorHAnsi"/>
                <w:sz w:val="20"/>
                <w:szCs w:val="20"/>
                <w:lang w:val="es-EC"/>
              </w:rPr>
              <w:t xml:space="preserve">El nombre del Proyecto es: </w:t>
            </w:r>
            <w:r>
              <w:rPr>
                <w:rFonts w:eastAsia="Times New Roman" w:asciiTheme="minorHAnsi" w:hAnsiTheme="minorHAnsi" w:cstheme="minorHAnsi"/>
                <w:iCs/>
                <w:sz w:val="20"/>
                <w:szCs w:val="20"/>
                <w:lang w:val="es-EC"/>
              </w:rPr>
              <w:t xml:space="preserve">Programa Multifase de Mejora de la Calidad en la Prestación de los Servicios Sociales – Fase I - 4364/OC-EC </w:t>
            </w:r>
          </w:p>
          <w:p>
            <w:pPr>
              <w:tabs>
                <w:tab w:val="left" w:pos="3942"/>
              </w:tabs>
              <w:jc w:val="both"/>
              <w:rPr>
                <w:rFonts w:eastAsia="Times New Roman" w:asciiTheme="minorHAnsi" w:hAnsiTheme="minorHAnsi" w:cstheme="minorHAnsi"/>
                <w:iCs/>
                <w:sz w:val="20"/>
                <w:szCs w:val="20"/>
                <w:lang w:val="es-EC"/>
              </w:rPr>
            </w:pPr>
            <w:r>
              <w:rPr>
                <w:rFonts w:eastAsia="Times New Roman" w:asciiTheme="minorHAnsi" w:hAnsiTheme="minorHAnsi" w:cstheme="minorHAnsi"/>
                <w:iCs/>
                <w:sz w:val="20"/>
                <w:szCs w:val="20"/>
                <w:lang w:val="es-EC"/>
              </w:rPr>
              <w:t>Fecha de aprobación del Contrato de Préstamo por el Banco: 7 de Septiembre de 2018.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p>
        </w:tc>
        <w:tc>
          <w:tcPr>
            <w:tcW w:w="8334" w:type="dxa"/>
          </w:tcPr>
          <w:p>
            <w:pPr>
              <w:spacing w:before="60" w:after="60" w:line="240" w:lineRule="auto"/>
              <w:jc w:val="center"/>
              <w:rPr>
                <w:rFonts w:eastAsia="Times New Roman" w:asciiTheme="minorHAnsi" w:hAnsiTheme="minorHAnsi" w:cstheme="minorHAnsi"/>
                <w:bCs/>
                <w:sz w:val="20"/>
                <w:szCs w:val="20"/>
                <w:lang w:val="es-EC"/>
              </w:rPr>
            </w:pPr>
            <w:bookmarkStart w:id="281" w:name="_Toc505659530"/>
            <w:bookmarkStart w:id="282" w:name="_Toc506185678"/>
            <w:r>
              <w:rPr>
                <w:rFonts w:eastAsia="Times New Roman" w:asciiTheme="minorHAnsi" w:hAnsiTheme="minorHAnsi" w:cstheme="minorHAnsi"/>
                <w:bCs/>
                <w:sz w:val="20"/>
                <w:szCs w:val="20"/>
                <w:lang w:val="es-EC"/>
              </w:rPr>
              <w:t xml:space="preserve">B. Contenido de los Documentos de Licitación </w:t>
            </w:r>
            <w:bookmarkEnd w:id="281"/>
            <w:bookmarkEnd w:id="282"/>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7.1</w:t>
            </w:r>
          </w:p>
        </w:tc>
        <w:tc>
          <w:tcPr>
            <w:tcW w:w="8334" w:type="dxa"/>
          </w:tcPr>
          <w:p>
            <w:pPr>
              <w:keepNext/>
              <w:keepLines/>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Para </w:t>
            </w:r>
            <w:r>
              <w:rPr>
                <w:rFonts w:asciiTheme="minorHAnsi" w:hAnsiTheme="minorHAnsi" w:cstheme="minorHAnsi"/>
                <w:sz w:val="20"/>
                <w:szCs w:val="20"/>
                <w:u w:val="single"/>
                <w:lang w:val="es-EC"/>
              </w:rPr>
              <w:t>aclaraciones de las ofertas</w:t>
            </w:r>
            <w:r>
              <w:rPr>
                <w:rFonts w:asciiTheme="minorHAnsi" w:hAnsiTheme="minorHAnsi" w:cstheme="minorHAnsi"/>
                <w:sz w:val="20"/>
                <w:szCs w:val="20"/>
                <w:lang w:val="es-EC"/>
              </w:rPr>
              <w:t xml:space="preserve">, solamente, la dirección del Comprador es: </w:t>
            </w:r>
          </w:p>
          <w:p>
            <w:pPr>
              <w:keepNext/>
              <w:keepLines/>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Atención: Eco. Cristhian Franco - Gerente del Proyecto BID-MSP 4364/OC-EC, Ministerio de Salud Pública </w:t>
            </w:r>
          </w:p>
          <w:p>
            <w:pPr>
              <w:keepNext/>
              <w:keepLines/>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Dirección: Plataforma Gubernamental de Desarrollo Social, Av. Quitumbe Ñan y Amaru Ñan,</w:t>
            </w:r>
            <w:r>
              <w:rPr>
                <w:rFonts w:asciiTheme="minorHAnsi" w:hAnsiTheme="minorHAnsi" w:cstheme="minorHAnsi"/>
                <w:sz w:val="20"/>
                <w:szCs w:val="20"/>
                <w:shd w:val="clear" w:color="auto" w:fill="FFFFFF"/>
                <w:lang w:val="es-EC"/>
              </w:rPr>
              <w:t>/ tercer piso – oficina 308/ Proyecto BID – MSP / Ministerio de Salud Pública</w:t>
            </w:r>
          </w:p>
          <w:p>
            <w:pPr>
              <w:keepNext/>
              <w:keepLines/>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Ciudad: Quito </w:t>
            </w:r>
          </w:p>
          <w:p>
            <w:pPr>
              <w:pStyle w:val="66"/>
              <w:keepNext/>
              <w:keepLines/>
              <w:numPr>
                <w:ilvl w:val="0"/>
                <w:numId w:val="0"/>
              </w:numPr>
              <w:spacing w:before="120" w:after="120"/>
              <w:jc w:val="both"/>
              <w:rPr>
                <w:rFonts w:asciiTheme="minorHAnsi" w:hAnsiTheme="minorHAnsi" w:cstheme="minorHAnsi"/>
                <w:kern w:val="0"/>
                <w:sz w:val="20"/>
                <w:lang w:val="es-EC"/>
              </w:rPr>
            </w:pPr>
            <w:r>
              <w:rPr>
                <w:rFonts w:asciiTheme="minorHAnsi" w:hAnsiTheme="minorHAnsi" w:cstheme="minorHAnsi"/>
                <w:kern w:val="0"/>
                <w:sz w:val="20"/>
                <w:lang w:val="es-EC"/>
              </w:rPr>
              <w:t xml:space="preserve">País: Ecuador </w:t>
            </w:r>
          </w:p>
          <w:p>
            <w:pPr>
              <w:pStyle w:val="66"/>
              <w:keepNext/>
              <w:keepLines/>
              <w:numPr>
                <w:ilvl w:val="0"/>
                <w:numId w:val="0"/>
              </w:numPr>
              <w:spacing w:before="120" w:after="120"/>
              <w:jc w:val="both"/>
              <w:rPr>
                <w:rFonts w:asciiTheme="minorHAnsi" w:hAnsiTheme="minorHAnsi" w:cstheme="minorHAnsi"/>
                <w:kern w:val="0"/>
                <w:sz w:val="20"/>
                <w:lang w:val="es-EC"/>
              </w:rPr>
            </w:pPr>
            <w:r>
              <w:rPr>
                <w:rFonts w:asciiTheme="minorHAnsi" w:hAnsiTheme="minorHAnsi" w:cstheme="minorHAnsi"/>
                <w:kern w:val="0"/>
                <w:sz w:val="20"/>
                <w:lang w:val="es-EC"/>
              </w:rPr>
              <w:t>Código Postal: 170702</w:t>
            </w:r>
          </w:p>
          <w:p>
            <w:pPr>
              <w:pStyle w:val="66"/>
              <w:keepNext/>
              <w:keepLines/>
              <w:numPr>
                <w:ilvl w:val="0"/>
                <w:numId w:val="0"/>
              </w:numPr>
              <w:spacing w:before="120" w:after="120"/>
              <w:jc w:val="both"/>
              <w:rPr>
                <w:rFonts w:eastAsia="Calibri" w:asciiTheme="minorHAnsi" w:hAnsiTheme="minorHAnsi" w:cstheme="minorHAnsi"/>
                <w:kern w:val="0"/>
                <w:sz w:val="20"/>
                <w:shd w:val="clear" w:color="auto" w:fill="FFFFFF"/>
                <w:lang w:val="es-EC"/>
              </w:rPr>
            </w:pPr>
            <w:r>
              <w:rPr>
                <w:rFonts w:asciiTheme="minorHAnsi" w:hAnsiTheme="minorHAnsi" w:cstheme="minorHAnsi"/>
                <w:sz w:val="20"/>
                <w:lang w:val="es-EC"/>
              </w:rPr>
              <w:t xml:space="preserve">Dirección de correo electrónico: proyecto.bid@mspsalud.gob.ec </w:t>
            </w:r>
            <w:r>
              <w:rPr>
                <w:rFonts w:eastAsia="Calibri" w:asciiTheme="minorHAnsi" w:hAnsiTheme="minorHAnsi" w:cstheme="minorHAnsi"/>
                <w:kern w:val="0"/>
                <w:sz w:val="20"/>
                <w:shd w:val="clear" w:color="auto" w:fill="FFFFFF"/>
                <w:lang w:val="es-EC"/>
              </w:rPr>
              <w:t>Ref. LPI-4364-001-2019</w:t>
            </w:r>
          </w:p>
          <w:p>
            <w:pPr>
              <w:pStyle w:val="66"/>
              <w:keepNext/>
              <w:keepLines/>
              <w:numPr>
                <w:ilvl w:val="0"/>
                <w:numId w:val="0"/>
              </w:numPr>
              <w:spacing w:before="0"/>
              <w:jc w:val="both"/>
              <w:rPr>
                <w:lang w:val="es-ES"/>
              </w:rPr>
            </w:pPr>
            <w:r>
              <w:rPr>
                <w:rFonts w:asciiTheme="minorHAnsi" w:hAnsiTheme="minorHAnsi" w:cstheme="minorHAnsi"/>
                <w:iCs/>
                <w:sz w:val="20"/>
                <w:lang w:val="es-EC"/>
              </w:rPr>
              <w:t xml:space="preserve">Además de lo indicado en la sección I, los boletines de aclaraciones y enmiendas a los Documentos de licitación serán publicados en la página </w:t>
            </w:r>
            <w:r>
              <w:fldChar w:fldCharType="begin"/>
            </w:r>
            <w:r>
              <w:instrText xml:space="preserve"> HYPERLINK "https://www.salud.gob.ec/proyecto-bid-4364-multifase/" </w:instrText>
            </w:r>
            <w:r>
              <w:fldChar w:fldCharType="separate"/>
            </w:r>
            <w:r>
              <w:rPr>
                <w:rStyle w:val="44"/>
                <w:lang w:val="es-ES"/>
              </w:rPr>
              <w:t>https://www.salud.gob.ec/proyecto-bid-4364-multifase/</w:t>
            </w:r>
            <w:r>
              <w:rPr>
                <w:rStyle w:val="44"/>
                <w:lang w:val="es-ES"/>
              </w:rPr>
              <w:fldChar w:fldCharType="end"/>
            </w:r>
          </w:p>
          <w:p>
            <w:pPr>
              <w:pStyle w:val="66"/>
              <w:keepNext/>
              <w:keepLines/>
              <w:numPr>
                <w:ilvl w:val="0"/>
                <w:numId w:val="0"/>
              </w:numPr>
              <w:spacing w:before="0"/>
              <w:jc w:val="both"/>
              <w:rPr>
                <w:rFonts w:asciiTheme="minorHAnsi" w:hAnsiTheme="minorHAnsi" w:cstheme="minorHAnsi"/>
                <w:sz w:val="20"/>
                <w:lang w:val="es-ES"/>
              </w:rPr>
            </w:pPr>
          </w:p>
          <w:p>
            <w:pPr>
              <w:pStyle w:val="66"/>
              <w:keepNext/>
              <w:keepLines/>
              <w:numPr>
                <w:ilvl w:val="0"/>
                <w:numId w:val="0"/>
              </w:numPr>
              <w:spacing w:before="0"/>
              <w:jc w:val="both"/>
              <w:rPr>
                <w:rFonts w:asciiTheme="minorHAnsi" w:hAnsiTheme="minorHAnsi" w:cstheme="minorHAnsi"/>
                <w:sz w:val="20"/>
                <w:lang w:val="es-EC"/>
              </w:rPr>
            </w:pPr>
            <w:r>
              <w:rPr>
                <w:rFonts w:asciiTheme="minorHAnsi" w:hAnsiTheme="minorHAnsi" w:cstheme="minorHAnsi"/>
                <w:sz w:val="20"/>
                <w:lang w:val="es-EC"/>
              </w:rPr>
              <w:t>Las solicitudes de aclaración a las que se refieren las IAO 7.1 podrán realizarse hasta veinte y un (21) días antes de la fecha límite para la presentación de la oferta, al correo electrónico: proyecto.bid@mspsalud.gob.ec. El comprador hará llegar por escrito las respuestas a las preguntas planteadas por los interesados doce (12) días antes de la fecha límite para la presentación de la oferta, por correo electrónico y publicadas para disposición de todos los oferentes interesados en las Páginas https://www.salud.gob.ec/proyecto-bid-4364-multifase/, www.devbusiness.com , siendo éstos los responsables de revisar dichas páginas.</w:t>
            </w:r>
          </w:p>
          <w:p>
            <w:pPr>
              <w:pStyle w:val="66"/>
              <w:keepNext/>
              <w:keepLines/>
              <w:numPr>
                <w:ilvl w:val="0"/>
                <w:numId w:val="0"/>
              </w:numPr>
              <w:spacing w:before="0"/>
              <w:jc w:val="both"/>
              <w:rPr>
                <w:rFonts w:asciiTheme="minorHAnsi" w:hAnsiTheme="minorHAnsi" w:cstheme="minorHAnsi"/>
                <w:sz w:val="20"/>
                <w:lang w:val="es-EC"/>
              </w:rPr>
            </w:pPr>
          </w:p>
          <w:p>
            <w:pPr>
              <w:spacing w:line="266" w:lineRule="atLeast"/>
              <w:ind w:right="67"/>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El Comprador publicará y mantendrá actualizada en su página de Internet la lista de las aclaraciones, respuestas y enmiendas emitidas y su texto.</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p>
        </w:tc>
        <w:tc>
          <w:tcPr>
            <w:tcW w:w="8334" w:type="dxa"/>
          </w:tcPr>
          <w:p>
            <w:pPr>
              <w:spacing w:before="60" w:after="60" w:line="240" w:lineRule="auto"/>
              <w:jc w:val="center"/>
              <w:rPr>
                <w:rFonts w:eastAsia="Times New Roman" w:asciiTheme="minorHAnsi" w:hAnsiTheme="minorHAnsi" w:cstheme="minorHAnsi"/>
                <w:b/>
                <w:bCs/>
                <w:sz w:val="20"/>
                <w:szCs w:val="20"/>
                <w:lang w:val="es-EC"/>
              </w:rPr>
            </w:pPr>
            <w:bookmarkStart w:id="283" w:name="_Toc506185679"/>
            <w:bookmarkStart w:id="284" w:name="_Toc505659531"/>
            <w:r>
              <w:rPr>
                <w:rFonts w:eastAsia="Times New Roman" w:asciiTheme="minorHAnsi" w:hAnsiTheme="minorHAnsi" w:cstheme="minorHAnsi"/>
                <w:b/>
                <w:bCs/>
                <w:sz w:val="20"/>
                <w:szCs w:val="20"/>
                <w:lang w:val="es-EC"/>
              </w:rPr>
              <w:t xml:space="preserve">C. Preparación de las Ofertas </w:t>
            </w:r>
            <w:bookmarkEnd w:id="283"/>
            <w:bookmarkEnd w:id="284"/>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10.1</w:t>
            </w:r>
          </w:p>
        </w:tc>
        <w:tc>
          <w:tcPr>
            <w:tcW w:w="8334" w:type="dxa"/>
          </w:tcPr>
          <w:p>
            <w:pPr>
              <w:tabs>
                <w:tab w:val="right" w:pos="7254"/>
              </w:tabs>
              <w:spacing w:before="60" w:after="60" w:line="240" w:lineRule="auto"/>
              <w:jc w:val="both"/>
              <w:rPr>
                <w:rFonts w:eastAsia="Times New Roman" w:asciiTheme="minorHAnsi" w:hAnsiTheme="minorHAnsi" w:cstheme="minorHAnsi"/>
                <w:b/>
                <w:i/>
                <w:iCs/>
                <w:sz w:val="20"/>
                <w:szCs w:val="20"/>
                <w:lang w:val="es-EC"/>
              </w:rPr>
            </w:pPr>
            <w:r>
              <w:rPr>
                <w:rFonts w:asciiTheme="minorHAnsi" w:hAnsiTheme="minorHAnsi" w:cstheme="minorHAnsi"/>
                <w:sz w:val="20"/>
                <w:szCs w:val="20"/>
                <w:lang w:val="es-EC"/>
              </w:rPr>
              <w:t xml:space="preserve">El idioma en que se debe presentar la oferta es: </w:t>
            </w:r>
            <w:r>
              <w:rPr>
                <w:rFonts w:eastAsia="Times New Roman" w:asciiTheme="minorHAnsi" w:hAnsiTheme="minorHAnsi" w:cstheme="minorHAnsi"/>
                <w:b/>
                <w:iCs/>
                <w:sz w:val="20"/>
                <w:szCs w:val="20"/>
                <w:lang w:val="es-EC"/>
              </w:rPr>
              <w:t xml:space="preserve">Español </w:t>
            </w:r>
          </w:p>
          <w:p>
            <w:pPr>
              <w:tabs>
                <w:tab w:val="right" w:pos="7254"/>
              </w:tabs>
              <w:spacing w:before="60" w:after="6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iCs/>
                <w:sz w:val="20"/>
                <w:szCs w:val="20"/>
                <w:lang w:val="es-EC"/>
              </w:rPr>
              <w:t xml:space="preserve">Únicamente para el caso de manuales y catálogos, se permitirá su presentación en idioma inglés acompañado de su traducción al idioma español. En caso de discrepancias entre la versión original en idioma extranjero y su traducción, prevalecerá la primera.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11.1 (h)</w:t>
            </w:r>
          </w:p>
        </w:tc>
        <w:tc>
          <w:tcPr>
            <w:tcW w:w="8334" w:type="dxa"/>
          </w:tcPr>
          <w:p>
            <w:pPr>
              <w:tabs>
                <w:tab w:val="right" w:pos="725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Oferentes deberán presentar los siguientes documentos adicionales con su oferta: </w:t>
            </w:r>
          </w:p>
          <w:p>
            <w:pPr>
              <w:spacing w:after="120"/>
              <w:jc w:val="both"/>
              <w:rPr>
                <w:rFonts w:asciiTheme="minorHAnsi" w:hAnsiTheme="minorHAnsi" w:cstheme="minorHAnsi"/>
                <w:b/>
                <w:sz w:val="20"/>
                <w:szCs w:val="20"/>
                <w:u w:val="single"/>
                <w:lang w:val="es-EC"/>
              </w:rPr>
            </w:pPr>
          </w:p>
          <w:p>
            <w:pPr>
              <w:spacing w:after="120"/>
              <w:jc w:val="both"/>
              <w:rPr>
                <w:rFonts w:asciiTheme="minorHAnsi" w:hAnsiTheme="minorHAnsi" w:cstheme="minorHAnsi"/>
                <w:sz w:val="20"/>
                <w:szCs w:val="20"/>
                <w:lang w:val="es-EC"/>
              </w:rPr>
            </w:pPr>
            <w:r>
              <w:rPr>
                <w:rFonts w:asciiTheme="minorHAnsi" w:hAnsiTheme="minorHAnsi" w:cstheme="minorHAnsi"/>
                <w:b/>
                <w:sz w:val="20"/>
                <w:szCs w:val="20"/>
                <w:u w:val="single"/>
                <w:lang w:val="es-EC"/>
              </w:rPr>
              <w:t>Documentación Organizacional del Oferente</w:t>
            </w:r>
            <w:r>
              <w:rPr>
                <w:rFonts w:asciiTheme="minorHAnsi" w:hAnsiTheme="minorHAnsi" w:cstheme="minorHAnsi"/>
                <w:sz w:val="20"/>
                <w:szCs w:val="20"/>
                <w:lang w:val="es-EC"/>
              </w:rPr>
              <w:t>:</w:t>
            </w:r>
          </w:p>
          <w:p>
            <w:pPr>
              <w:pStyle w:val="64"/>
              <w:numPr>
                <w:ilvl w:val="0"/>
                <w:numId w:val="71"/>
              </w:numPr>
              <w:tabs>
                <w:tab w:val="left" w:pos="257"/>
              </w:tabs>
              <w:spacing w:after="12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Copia simple del Estatuto de Constitución del Oferente nacional o extranjero y sus modificaciones en caso de existir. En el caso de APCA, se deberá presentar la documentación institucional de cada uno de los integrantes.</w:t>
            </w:r>
          </w:p>
          <w:p>
            <w:pPr>
              <w:pStyle w:val="64"/>
              <w:numPr>
                <w:ilvl w:val="0"/>
                <w:numId w:val="71"/>
              </w:numPr>
              <w:tabs>
                <w:tab w:val="left" w:pos="257"/>
              </w:tabs>
              <w:spacing w:after="12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Copia simple del Registro de los Estatutos de la Sociedad en la Entidad Competente del País de Origen.</w:t>
            </w:r>
          </w:p>
          <w:p>
            <w:pPr>
              <w:pStyle w:val="64"/>
              <w:numPr>
                <w:ilvl w:val="0"/>
                <w:numId w:val="71"/>
              </w:numPr>
              <w:tabs>
                <w:tab w:val="left" w:pos="257"/>
              </w:tabs>
              <w:spacing w:after="12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Copia simple del documento de identificación. (Persona Natural).</w:t>
            </w:r>
          </w:p>
          <w:p>
            <w:pPr>
              <w:pStyle w:val="64"/>
              <w:numPr>
                <w:ilvl w:val="0"/>
                <w:numId w:val="71"/>
              </w:numPr>
              <w:tabs>
                <w:tab w:val="left" w:pos="257"/>
              </w:tabs>
              <w:spacing w:after="12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En caso de oferentes no domiciliados en el Ecuador, se deberá presentar un compromiso de domiciliación en caso de resultar adjudicado, previo a la firma del contrato.</w:t>
            </w:r>
          </w:p>
          <w:p>
            <w:pPr>
              <w:pStyle w:val="64"/>
              <w:numPr>
                <w:ilvl w:val="0"/>
                <w:numId w:val="71"/>
              </w:numPr>
              <w:tabs>
                <w:tab w:val="left" w:pos="257"/>
              </w:tabs>
              <w:spacing w:after="12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Los Oferentes que se presenten como APCA, deben presentar el contrato de constitución de APCA o el compromiso de constitución en caso de resultar adjudicatarios, designando en el mismo el procurador común.</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 xml:space="preserve">El Compromiso del APCA deberá contener los siguientes requisitos: </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1. Identificación de los partícipes, incluido domicilio y lugar para recibir las notificaciones, con la verificación de requisitos de capacidad y representación de las partes;</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2. Designación del representante o representantes, con poder o representación suficiente para poder actuar durante la fase precontractual, a quien o quienes se les denominará procurador/es común/es;</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3. Detalle valorado de los aportes de cada uno de los miembros, sea en monetario o en especie, así como en aportes intangibles, de así acordarse;</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4. Determinación de los compromisos y obligaciones que asumirán las partes en la fase de ejecución contractual, de resultar adjudicado;</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5. Porcentaje de la participación de cada uno de los asociados o consorciados;</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6. Identificación precisa del código del procedimiento de contratación en el que participará el compromiso;</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7. Determinación de la responsabilidad solidaria e indivisible de los asociados para el cumplimiento de todas y cada una de las responsabilidades y obligaciones emanadas del procedimiento precontractual, con renuncia a los beneficios de orden y excusión;</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8. La obligación de constituir la asociación o consorcio, dentro de los plazos establecidos en la normativa vigente o en el pliego correspondiente; y,</w:t>
            </w:r>
          </w:p>
          <w:p>
            <w:pPr>
              <w:pStyle w:val="66"/>
              <w:keepNext/>
              <w:keepLines/>
              <w:numPr>
                <w:ilvl w:val="0"/>
                <w:numId w:val="0"/>
              </w:numPr>
              <w:spacing w:before="120" w:after="120"/>
              <w:jc w:val="both"/>
              <w:rPr>
                <w:rFonts w:asciiTheme="minorHAnsi" w:hAnsiTheme="minorHAnsi" w:cstheme="minorHAnsi"/>
                <w:sz w:val="20"/>
                <w:lang w:val="es-EC"/>
              </w:rPr>
            </w:pPr>
            <w:r>
              <w:rPr>
                <w:rFonts w:asciiTheme="minorHAnsi" w:hAnsiTheme="minorHAnsi" w:cstheme="minorHAnsi"/>
                <w:sz w:val="20"/>
                <w:lang w:val="es-EC"/>
              </w:rPr>
              <w:t>9. Plazo del compromiso de asociación y plazo del acuerdo en caso de resultar adjudicatario, el que deberá cubrir la totalidad del plazo precontractual hasta antes de suscribir el contrato de asociación o consorcio respectivo, y noventa días adicionales</w:t>
            </w:r>
            <w:r>
              <w:rPr>
                <w:rFonts w:asciiTheme="minorHAnsi" w:hAnsiTheme="minorHAnsi" w:cstheme="minorHAnsi"/>
                <w:sz w:val="20"/>
                <w:lang w:val="es-EC" w:eastAsia="es-EC"/>
              </w:rPr>
              <w:t>.</w:t>
            </w:r>
          </w:p>
          <w:p>
            <w:pPr>
              <w:widowControl w:val="0"/>
              <w:tabs>
                <w:tab w:val="left" w:pos="824"/>
                <w:tab w:val="right" w:pos="7628"/>
              </w:tabs>
              <w:autoSpaceDE w:val="0"/>
              <w:autoSpaceDN w:val="0"/>
              <w:adjustRightInd w:val="0"/>
              <w:spacing w:after="0" w:line="240" w:lineRule="auto"/>
              <w:ind w:right="61"/>
              <w:jc w:val="both"/>
              <w:rPr>
                <w:rFonts w:eastAsia="Times New Roman" w:asciiTheme="minorHAnsi" w:hAnsiTheme="minorHAnsi" w:cstheme="minorHAnsi"/>
                <w:sz w:val="20"/>
                <w:szCs w:val="20"/>
                <w:lang w:val="es-EC"/>
              </w:rPr>
            </w:pPr>
          </w:p>
          <w:p>
            <w:pPr>
              <w:pStyle w:val="64"/>
              <w:tabs>
                <w:tab w:val="left" w:pos="257"/>
              </w:tabs>
              <w:spacing w:after="120" w:line="240" w:lineRule="auto"/>
              <w:ind w:left="0"/>
              <w:jc w:val="both"/>
              <w:rPr>
                <w:rFonts w:asciiTheme="minorHAnsi" w:hAnsiTheme="minorHAnsi" w:cstheme="minorHAnsi"/>
                <w:b/>
                <w:sz w:val="20"/>
                <w:szCs w:val="20"/>
                <w:lang w:val="es-EC"/>
              </w:rPr>
            </w:pPr>
            <w:r>
              <w:rPr>
                <w:rFonts w:asciiTheme="minorHAnsi" w:hAnsiTheme="minorHAnsi" w:cstheme="minorHAnsi"/>
                <w:b/>
                <w:sz w:val="20"/>
                <w:szCs w:val="20"/>
                <w:lang w:val="es-EC"/>
              </w:rPr>
              <w:t>Suscriptor de la oferta:</w:t>
            </w:r>
          </w:p>
          <w:p>
            <w:pPr>
              <w:pStyle w:val="64"/>
              <w:numPr>
                <w:ilvl w:val="0"/>
                <w:numId w:val="71"/>
              </w:numPr>
              <w:tabs>
                <w:tab w:val="left" w:pos="257"/>
              </w:tabs>
              <w:spacing w:after="12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Copia simple del nombramiento del suscriptor de la Oferta como Representante Legal o procurador común (en caso de APCA), o denominación equivalente en el país de origen, siempre que acredite tener la facultad suficiente para obligar al Oferente.</w:t>
            </w:r>
          </w:p>
          <w:p>
            <w:pPr>
              <w:pStyle w:val="64"/>
              <w:numPr>
                <w:ilvl w:val="0"/>
                <w:numId w:val="71"/>
              </w:numPr>
              <w:tabs>
                <w:tab w:val="left" w:pos="257"/>
              </w:tabs>
              <w:spacing w:after="12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Copia simple del documento de identificación del Representante Legal o procurador común (en caso de APCA), o denominación equivalente en el país de origen. </w:t>
            </w:r>
          </w:p>
          <w:p>
            <w:pPr>
              <w:pStyle w:val="64"/>
              <w:numPr>
                <w:ilvl w:val="0"/>
                <w:numId w:val="71"/>
              </w:numPr>
              <w:tabs>
                <w:tab w:val="left" w:pos="257"/>
              </w:tabs>
              <w:spacing w:after="12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 Si el oferente fuere de nacionalidad Ecuatoriana, deberá presentar el Registro Único de Contribuyentes –RUC, donde se describe la actividad económica principal que deberá tener relación directa con la comercialización, distribución o fabricación de los productos ofrecidos (Persona Natural y Jurídica). Si se trata de un oferente extranjero no es requisito para la presentación de la oferta, sin embargo será indispensable presentar este documento previo a la firma del contrato, en caso de resultar adjudicado.</w:t>
            </w:r>
          </w:p>
          <w:p>
            <w:pPr>
              <w:pStyle w:val="64"/>
              <w:tabs>
                <w:tab w:val="left" w:pos="257"/>
              </w:tabs>
              <w:spacing w:after="120" w:line="240" w:lineRule="auto"/>
              <w:ind w:left="0"/>
              <w:rPr>
                <w:rFonts w:eastAsia="Times New Roman" w:asciiTheme="minorHAnsi" w:hAnsiTheme="minorHAnsi" w:cstheme="minorHAnsi"/>
                <w:b/>
                <w:sz w:val="20"/>
                <w:szCs w:val="20"/>
                <w:u w:val="single"/>
                <w:lang w:val="es-EC"/>
              </w:rPr>
            </w:pPr>
            <w:bookmarkStart w:id="285" w:name="_Toc484417219"/>
          </w:p>
          <w:p>
            <w:pPr>
              <w:pStyle w:val="64"/>
              <w:tabs>
                <w:tab w:val="left" w:pos="257"/>
              </w:tabs>
              <w:spacing w:after="120" w:line="240" w:lineRule="auto"/>
              <w:ind w:left="0"/>
              <w:rPr>
                <w:rFonts w:eastAsia="Times New Roman" w:asciiTheme="minorHAnsi" w:hAnsiTheme="minorHAnsi" w:cstheme="minorHAnsi"/>
                <w:b/>
                <w:iCs/>
                <w:sz w:val="20"/>
                <w:szCs w:val="20"/>
                <w:u w:val="single"/>
                <w:lang w:val="es-EC" w:eastAsia="es-ES"/>
              </w:rPr>
            </w:pPr>
            <w:r>
              <w:rPr>
                <w:rFonts w:eastAsia="Times New Roman" w:asciiTheme="minorHAnsi" w:hAnsiTheme="minorHAnsi" w:cstheme="minorHAnsi"/>
                <w:b/>
                <w:sz w:val="20"/>
                <w:szCs w:val="20"/>
                <w:u w:val="single"/>
                <w:lang w:val="es-EC"/>
              </w:rPr>
              <w:t>Documentación de calificación posterior:</w:t>
            </w:r>
            <w:bookmarkEnd w:id="285"/>
          </w:p>
          <w:p>
            <w:pPr>
              <w:numPr>
                <w:ilvl w:val="0"/>
                <w:numId w:val="72"/>
              </w:numPr>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Copia simple del estado financiero, declaraciones, o documentación equivalente en el país de origen, presentados a la autoridad competente, o auditados independientemente. La documentación deberá venir denominada en dólares de los Estados Unidos de América. De estar denominados en otra moneda, incluirá la conversión a dólares de los Estados Unidos de América utilizando la tasa transaccional para la venta del tipo de cambio publicada en la página del Banco Central del Ecuador </w:t>
            </w:r>
            <w:r>
              <w:fldChar w:fldCharType="begin"/>
            </w:r>
            <w:r>
              <w:instrText xml:space="preserve"> HYPERLINK "https://www.bce.fin.ec/index.php/component/k2/item/260-consulta-por-monedas-extranjeras" </w:instrText>
            </w:r>
            <w:r>
              <w:fldChar w:fldCharType="separate"/>
            </w:r>
            <w:r>
              <w:rPr>
                <w:rStyle w:val="44"/>
                <w:rFonts w:asciiTheme="minorHAnsi" w:hAnsiTheme="minorHAnsi" w:cstheme="minorHAnsi"/>
                <w:sz w:val="20"/>
                <w:szCs w:val="20"/>
                <w:lang w:val="es-EC"/>
              </w:rPr>
              <w:t>https://www.bce.fin.ec/index.php/component/k2/item/260-consulta-por-monedas-extranjeras</w:t>
            </w:r>
            <w:r>
              <w:rPr>
                <w:rStyle w:val="44"/>
                <w:rFonts w:asciiTheme="minorHAnsi" w:hAnsiTheme="minorHAnsi" w:cstheme="minorHAnsi"/>
                <w:sz w:val="20"/>
                <w:szCs w:val="20"/>
                <w:lang w:val="es-EC"/>
              </w:rPr>
              <w:fldChar w:fldCharType="end"/>
            </w:r>
            <w:r>
              <w:rPr>
                <w:rFonts w:asciiTheme="minorHAnsi" w:hAnsiTheme="minorHAnsi" w:cstheme="minorHAnsi"/>
                <w:sz w:val="20"/>
                <w:szCs w:val="20"/>
                <w:lang w:val="es-EC"/>
              </w:rPr>
              <w:t xml:space="preserve"> a la fecha del último día del ejercicio fiscal correspondiente.</w:t>
            </w:r>
          </w:p>
          <w:p>
            <w:pPr>
              <w:numPr>
                <w:ilvl w:val="0"/>
                <w:numId w:val="72"/>
              </w:numPr>
              <w:jc w:val="both"/>
              <w:rPr>
                <w:rFonts w:asciiTheme="minorHAnsi" w:hAnsiTheme="minorHAnsi" w:cstheme="minorHAnsi"/>
                <w:sz w:val="20"/>
                <w:szCs w:val="20"/>
                <w:lang w:val="es-EC"/>
              </w:rPr>
            </w:pPr>
            <w:r>
              <w:rPr>
                <w:rFonts w:asciiTheme="minorHAnsi" w:hAnsiTheme="minorHAnsi" w:cstheme="minorHAnsi"/>
                <w:sz w:val="20"/>
                <w:szCs w:val="20"/>
                <w:lang w:val="es-EC"/>
              </w:rPr>
              <w:t>El Oferente deberá acreditar experiencia específica en la venta de equipos médicos a través de la presentación de actas de entrega recepciones definitivas o facturas suscritas con instituciones públicas o privadas a nivel nacional o internacional, en la comercialización, distribución o fabricación de los productos ofrecidos.</w:t>
            </w:r>
          </w:p>
          <w:p>
            <w:pPr>
              <w:pStyle w:val="3"/>
              <w:rPr>
                <w:rFonts w:eastAsia="Calibri" w:asciiTheme="minorHAnsi" w:hAnsiTheme="minorHAnsi" w:cstheme="minorHAnsi"/>
                <w:bCs w:val="0"/>
                <w:color w:val="auto"/>
                <w:sz w:val="20"/>
                <w:szCs w:val="20"/>
                <w:u w:val="single"/>
                <w:lang w:val="es-EC"/>
              </w:rPr>
            </w:pPr>
            <w:bookmarkStart w:id="286" w:name="_Toc484417220"/>
            <w:r>
              <w:rPr>
                <w:rFonts w:eastAsia="Calibri" w:asciiTheme="minorHAnsi" w:hAnsiTheme="minorHAnsi" w:cstheme="minorHAnsi"/>
                <w:bCs w:val="0"/>
                <w:color w:val="auto"/>
                <w:sz w:val="20"/>
                <w:szCs w:val="20"/>
                <w:u w:val="single"/>
                <w:lang w:val="es-EC"/>
              </w:rPr>
              <w:t>Documentación de cumplimiento técnico:</w:t>
            </w:r>
          </w:p>
          <w:bookmarkEnd w:id="286"/>
          <w:p>
            <w:pPr>
              <w:spacing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 Declaración suscrita por el representante legal del oferente (procurador común en caso de APCA) con facultades suficientes para obligarse a mantener en la República del Ecuador la capacidad técnica, y el equipamiento suficiente para suministrar los servicios de garantía por los años de vida útil de los bienes (aplica para oferentes nacionales y extranjeros).</w:t>
            </w:r>
          </w:p>
          <w:p>
            <w:pPr>
              <w:spacing w:after="120"/>
              <w:jc w:val="both"/>
              <w:rPr>
                <w:rFonts w:asciiTheme="minorHAnsi" w:hAnsiTheme="minorHAnsi" w:cstheme="minorHAnsi"/>
                <w:strike/>
                <w:sz w:val="20"/>
                <w:szCs w:val="20"/>
                <w:lang w:val="es-EC" w:eastAsia="es-ES"/>
              </w:rPr>
            </w:pPr>
            <w:r>
              <w:rPr>
                <w:rFonts w:eastAsia="Times New Roman" w:asciiTheme="minorHAnsi" w:hAnsiTheme="minorHAnsi" w:cstheme="minorHAnsi"/>
                <w:b/>
                <w:sz w:val="20"/>
                <w:szCs w:val="20"/>
                <w:lang w:val="es-EC" w:eastAsia="es-ES"/>
              </w:rPr>
              <w:t xml:space="preserve">Carácter de la Información y documentación presentada: </w:t>
            </w:r>
            <w:r>
              <w:rPr>
                <w:rFonts w:eastAsia="Times New Roman" w:asciiTheme="minorHAnsi" w:hAnsiTheme="minorHAnsi" w:cstheme="minorHAnsi"/>
                <w:sz w:val="20"/>
                <w:szCs w:val="20"/>
                <w:lang w:val="es-EC" w:eastAsia="es-ES"/>
              </w:rPr>
              <w:t>Toda la información y documentación pres</w:t>
            </w:r>
            <w:r>
              <w:rPr>
                <w:rFonts w:asciiTheme="minorHAnsi" w:hAnsiTheme="minorHAnsi" w:cstheme="minorHAnsi"/>
                <w:sz w:val="20"/>
                <w:szCs w:val="20"/>
                <w:lang w:val="es-EC" w:eastAsia="es-ES"/>
              </w:rPr>
              <w:t>entada en la oferta revestirá el carácter de declaración jurada, y el proponente deberá permitir al Contratista su verificación en cualquier momento, de detectarse falsedad o adulteración en la información presentada, se podrá desestimar la oferta, sin perjuicio de las otras sanciones que pudieran corresponder.</w:t>
            </w:r>
          </w:p>
          <w:p>
            <w:pPr>
              <w:spacing w:after="120"/>
              <w:jc w:val="both"/>
              <w:rPr>
                <w:rFonts w:eastAsia="Times New Roman" w:asciiTheme="minorHAnsi" w:hAnsiTheme="minorHAnsi" w:cstheme="minorHAnsi"/>
                <w:strike/>
                <w:sz w:val="20"/>
                <w:szCs w:val="20"/>
                <w:lang w:val="es-EC"/>
              </w:rPr>
            </w:pPr>
            <w:r>
              <w:rPr>
                <w:rFonts w:asciiTheme="minorHAnsi" w:hAnsiTheme="minorHAnsi" w:cstheme="minorHAnsi"/>
                <w:b/>
                <w:sz w:val="20"/>
                <w:szCs w:val="20"/>
                <w:lang w:val="es-EC" w:eastAsia="es-ES"/>
              </w:rPr>
              <w:t xml:space="preserve">Presentación en Copia Simple: </w:t>
            </w:r>
            <w:r>
              <w:rPr>
                <w:rFonts w:asciiTheme="minorHAnsi" w:hAnsiTheme="minorHAnsi" w:cstheme="minorHAnsi"/>
                <w:sz w:val="20"/>
                <w:szCs w:val="20"/>
                <w:lang w:val="es-EC" w:eastAsia="es-ES"/>
              </w:rPr>
              <w:t>La documentación institucional puede ser presentada en copia simple, en tal caso la copia deberá ser legible. En caso de resultar adjudicatarios se deberá presentar debidamente certificada por notario público (oferente nacional). Para el caso de adjudicatarios extranjeros</w:t>
            </w:r>
            <w:r>
              <w:rPr>
                <w:rStyle w:val="43"/>
                <w:rFonts w:asciiTheme="minorHAnsi" w:hAnsiTheme="minorHAnsi" w:cstheme="minorHAnsi"/>
                <w:sz w:val="20"/>
                <w:szCs w:val="20"/>
                <w:lang w:val="es-EC" w:eastAsia="es-ES"/>
              </w:rPr>
              <w:footnoteReference w:id="0"/>
            </w:r>
            <w:r>
              <w:rPr>
                <w:rFonts w:asciiTheme="minorHAnsi" w:hAnsiTheme="minorHAnsi" w:cstheme="minorHAnsi"/>
                <w:sz w:val="20"/>
                <w:szCs w:val="20"/>
                <w:lang w:val="es-EC" w:eastAsia="es-ES"/>
              </w:rPr>
              <w:t>, los documentos emitidos por autoridades extranjeras deberán presentarse legalizados por autoridad consular (si son países que no suscribieron el Convenio de La Haya) o, con su respectiva apostilla de acuerdo a la legislación ecuatoriana y convenios internacionales vigentes con el país de procedencia.</w:t>
            </w:r>
            <w:r>
              <w:rPr>
                <w:rStyle w:val="43"/>
                <w:rFonts w:asciiTheme="minorHAnsi" w:hAnsiTheme="minorHAnsi" w:cstheme="minorHAnsi"/>
                <w:sz w:val="20"/>
                <w:szCs w:val="20"/>
                <w:lang w:val="es-EC" w:eastAsia="es-ES"/>
              </w:rPr>
              <w:footnoteReference w:id="1"/>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13.1</w:t>
            </w:r>
          </w:p>
        </w:tc>
        <w:tc>
          <w:tcPr>
            <w:tcW w:w="8334" w:type="dxa"/>
          </w:tcPr>
          <w:p>
            <w:pPr>
              <w:spacing w:before="60" w:after="60" w:line="240" w:lineRule="auto"/>
              <w:ind w:left="-18" w:firstLine="18"/>
              <w:jc w:val="both"/>
              <w:rPr>
                <w:rFonts w:eastAsia="Times New Roman" w:asciiTheme="minorHAnsi" w:hAnsiTheme="minorHAnsi" w:cstheme="minorHAnsi"/>
                <w:spacing w:val="-4"/>
                <w:sz w:val="20"/>
                <w:szCs w:val="20"/>
                <w:lang w:val="es-EC"/>
              </w:rPr>
            </w:pPr>
            <w:r>
              <w:rPr>
                <w:rFonts w:eastAsia="Times New Roman" w:asciiTheme="minorHAnsi" w:hAnsiTheme="minorHAnsi" w:cstheme="minorHAnsi"/>
                <w:iCs/>
                <w:sz w:val="20"/>
                <w:szCs w:val="20"/>
                <w:lang w:val="es-EC"/>
              </w:rPr>
              <w:t>No se considerarán ofertas alternativas</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14.5</w:t>
            </w:r>
          </w:p>
        </w:tc>
        <w:tc>
          <w:tcPr>
            <w:tcW w:w="8334" w:type="dxa"/>
          </w:tcPr>
          <w:p>
            <w:pPr>
              <w:widowControl w:val="0"/>
              <w:tabs>
                <w:tab w:val="right" w:pos="7254"/>
              </w:tabs>
              <w:spacing w:before="60" w:after="6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La edición de Incoterms es la correspondiente al año 2010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rPr>
            </w:pPr>
            <w:r>
              <w:rPr>
                <w:rFonts w:eastAsia="Times New Roman" w:asciiTheme="minorHAnsi" w:hAnsiTheme="minorHAnsi" w:cstheme="minorHAnsi"/>
                <w:b/>
                <w:bCs/>
                <w:sz w:val="20"/>
                <w:szCs w:val="20"/>
              </w:rPr>
              <w:t>IAO 14.6 (a)(i), (b)(i) y (c)(iii)</w:t>
            </w:r>
          </w:p>
        </w:tc>
        <w:tc>
          <w:tcPr>
            <w:tcW w:w="8334" w:type="dxa"/>
          </w:tcPr>
          <w:p>
            <w:pPr>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lugar de destino convenido es: </w:t>
            </w:r>
          </w:p>
          <w:p>
            <w:pPr>
              <w:pStyle w:val="64"/>
              <w:numPr>
                <w:ilvl w:val="0"/>
                <w:numId w:val="73"/>
              </w:numPr>
              <w:jc w:val="both"/>
              <w:rPr>
                <w:rFonts w:asciiTheme="minorHAnsi" w:hAnsiTheme="minorHAnsi" w:cstheme="minorHAnsi"/>
                <w:sz w:val="20"/>
                <w:szCs w:val="20"/>
                <w:lang w:val="es-EC"/>
              </w:rPr>
            </w:pPr>
            <w:r>
              <w:rPr>
                <w:rFonts w:asciiTheme="minorHAnsi" w:hAnsiTheme="minorHAnsi" w:cstheme="minorHAnsi"/>
                <w:sz w:val="20"/>
                <w:szCs w:val="20"/>
              </w:rPr>
              <w:t>Hospital Luis G. Dávila (Carchi)</w:t>
            </w:r>
          </w:p>
          <w:p>
            <w:pPr>
              <w:pStyle w:val="64"/>
              <w:numPr>
                <w:ilvl w:val="0"/>
                <w:numId w:val="73"/>
              </w:numPr>
              <w:jc w:val="both"/>
              <w:rPr>
                <w:rFonts w:asciiTheme="minorHAnsi" w:hAnsiTheme="minorHAnsi" w:cstheme="minorHAnsi"/>
                <w:sz w:val="20"/>
                <w:szCs w:val="20"/>
                <w:lang w:val="es-EC"/>
              </w:rPr>
            </w:pPr>
            <w:r>
              <w:rPr>
                <w:rFonts w:asciiTheme="minorHAnsi" w:hAnsiTheme="minorHAnsi" w:cstheme="minorHAnsi"/>
                <w:sz w:val="20"/>
                <w:szCs w:val="20"/>
                <w:lang w:val="es-EC"/>
              </w:rPr>
              <w:t>Hospital San Vicente de Paúl (Imbabura)</w:t>
            </w:r>
          </w:p>
          <w:p>
            <w:pPr>
              <w:pStyle w:val="64"/>
              <w:numPr>
                <w:ilvl w:val="0"/>
                <w:numId w:val="73"/>
              </w:numPr>
              <w:jc w:val="both"/>
              <w:rPr>
                <w:rFonts w:asciiTheme="minorHAnsi" w:hAnsiTheme="minorHAnsi" w:cstheme="minorHAnsi"/>
                <w:sz w:val="20"/>
                <w:szCs w:val="20"/>
                <w:lang w:val="es-EC"/>
              </w:rPr>
            </w:pPr>
            <w:r>
              <w:rPr>
                <w:rFonts w:asciiTheme="minorHAnsi" w:hAnsiTheme="minorHAnsi" w:cstheme="minorHAnsi"/>
                <w:sz w:val="20"/>
                <w:szCs w:val="20"/>
                <w:lang w:val="es-EC"/>
              </w:rPr>
              <w:t>Hospital Verdi Cevallos Balda (Manabí)</w:t>
            </w:r>
          </w:p>
          <w:p>
            <w:pPr>
              <w:pStyle w:val="64"/>
              <w:numPr>
                <w:ilvl w:val="0"/>
                <w:numId w:val="73"/>
              </w:numPr>
              <w:jc w:val="both"/>
              <w:rPr>
                <w:rFonts w:asciiTheme="minorHAnsi" w:hAnsiTheme="minorHAnsi" w:cstheme="minorHAnsi"/>
                <w:sz w:val="20"/>
                <w:szCs w:val="20"/>
                <w:lang w:val="es-EC"/>
              </w:rPr>
            </w:pPr>
            <w:r>
              <w:rPr>
                <w:rFonts w:asciiTheme="minorHAnsi" w:hAnsiTheme="minorHAnsi" w:cstheme="minorHAnsi"/>
                <w:sz w:val="20"/>
                <w:szCs w:val="20"/>
                <w:lang w:val="es-EC"/>
              </w:rPr>
              <w:t>Hospital Gustavo Domínguez (Santo Domingo de los Tsáchilas)</w:t>
            </w:r>
          </w:p>
          <w:p>
            <w:pPr>
              <w:pStyle w:val="64"/>
              <w:numPr>
                <w:ilvl w:val="0"/>
                <w:numId w:val="73"/>
              </w:numPr>
              <w:jc w:val="both"/>
              <w:rPr>
                <w:rFonts w:asciiTheme="minorHAnsi" w:hAnsiTheme="minorHAnsi" w:cstheme="minorHAnsi"/>
                <w:sz w:val="20"/>
                <w:szCs w:val="20"/>
                <w:lang w:val="es-EC"/>
              </w:rPr>
            </w:pPr>
            <w:r>
              <w:rPr>
                <w:rFonts w:asciiTheme="minorHAnsi" w:hAnsiTheme="minorHAnsi" w:cstheme="minorHAnsi"/>
                <w:sz w:val="20"/>
                <w:szCs w:val="20"/>
                <w:lang w:val="es-EC"/>
              </w:rPr>
              <w:t>Hospital Santo Domingo (Santo Domingo de los Tsáchilas)</w:t>
            </w:r>
          </w:p>
          <w:p>
            <w:pPr>
              <w:pStyle w:val="64"/>
              <w:numPr>
                <w:ilvl w:val="0"/>
                <w:numId w:val="73"/>
              </w:numPr>
              <w:jc w:val="both"/>
              <w:rPr>
                <w:rFonts w:asciiTheme="minorHAnsi" w:hAnsiTheme="minorHAnsi" w:cstheme="minorHAnsi"/>
                <w:sz w:val="20"/>
                <w:szCs w:val="20"/>
                <w:lang w:val="es-EC" w:eastAsia="es-ES"/>
              </w:rPr>
            </w:pPr>
            <w:r>
              <w:rPr>
                <w:rFonts w:asciiTheme="minorHAnsi" w:hAnsiTheme="minorHAnsi" w:cstheme="minorHAnsi"/>
                <w:sz w:val="20"/>
                <w:szCs w:val="20"/>
                <w:lang w:val="es-EC"/>
              </w:rPr>
              <w:t>Hospital Gineco Obstétrico Isidro Ayora (Pichincha)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8" w:type="dxa"/>
            <w:bottom w:w="0" w:type="dxa"/>
            <w:right w:w="108"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14.6 (b) (ii)</w:t>
            </w:r>
          </w:p>
        </w:tc>
        <w:tc>
          <w:tcPr>
            <w:tcW w:w="8334" w:type="dxa"/>
          </w:tcPr>
          <w:p>
            <w:pPr>
              <w:widowControl w:val="0"/>
              <w:tabs>
                <w:tab w:val="right" w:pos="7254"/>
              </w:tabs>
              <w:spacing w:before="60" w:after="60" w:line="240" w:lineRule="auto"/>
              <w:jc w:val="both"/>
              <w:rPr>
                <w:rFonts w:eastAsia="Times New Roman" w:asciiTheme="minorHAnsi" w:hAnsiTheme="minorHAnsi" w:cstheme="minorHAnsi"/>
                <w:b/>
                <w:color w:val="92D050"/>
                <w:sz w:val="20"/>
                <w:szCs w:val="20"/>
                <w:lang w:val="es-EC"/>
              </w:rPr>
            </w:pPr>
            <w:r>
              <w:rPr>
                <w:rFonts w:asciiTheme="minorHAnsi" w:hAnsiTheme="minorHAnsi" w:cstheme="minorHAnsi"/>
                <w:sz w:val="20"/>
                <w:szCs w:val="20"/>
                <w:lang w:val="es-EC"/>
              </w:rPr>
              <w:t xml:space="preserve">Además del precio CIP especificado en la cláusula 14.6 (b) (i) de las IAO, el precio de los Bienes de origen fuera del país del Comprador deberá ser cotizado: </w:t>
            </w:r>
            <w:r>
              <w:rPr>
                <w:rFonts w:asciiTheme="minorHAnsi" w:hAnsiTheme="minorHAnsi" w:cstheme="minorHAnsi"/>
                <w:iCs/>
                <w:sz w:val="20"/>
                <w:szCs w:val="20"/>
                <w:lang w:val="es-EC"/>
              </w:rPr>
              <w:t>No aplica.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14.7</w:t>
            </w:r>
          </w:p>
        </w:tc>
        <w:tc>
          <w:tcPr>
            <w:tcW w:w="8334" w:type="dxa"/>
          </w:tcPr>
          <w:p>
            <w:pPr>
              <w:tabs>
                <w:tab w:val="right" w:pos="7254"/>
              </w:tabs>
              <w:spacing w:before="60" w:after="60" w:line="240" w:lineRule="auto"/>
              <w:jc w:val="both"/>
              <w:rPr>
                <w:rFonts w:eastAsia="Times New Roman" w:asciiTheme="minorHAnsi" w:hAnsiTheme="minorHAnsi" w:cstheme="minorHAnsi"/>
                <w:b/>
                <w:color w:val="92D050"/>
                <w:sz w:val="20"/>
                <w:szCs w:val="20"/>
                <w:lang w:val="es-EC"/>
              </w:rPr>
            </w:pPr>
            <w:r>
              <w:rPr>
                <w:rFonts w:asciiTheme="minorHAnsi" w:hAnsiTheme="minorHAnsi" w:cstheme="minorHAnsi"/>
                <w:sz w:val="20"/>
                <w:szCs w:val="20"/>
                <w:lang w:val="es-EC"/>
              </w:rPr>
              <w:t xml:space="preserve">Los precios cotizados por el Oferente </w:t>
            </w:r>
            <w:r>
              <w:rPr>
                <w:rFonts w:eastAsia="Times New Roman" w:asciiTheme="minorHAnsi" w:hAnsiTheme="minorHAnsi" w:cstheme="minorHAnsi"/>
                <w:iCs/>
                <w:sz w:val="20"/>
                <w:szCs w:val="20"/>
                <w:lang w:val="es-EC"/>
              </w:rPr>
              <w:t xml:space="preserve">no serán </w:t>
            </w:r>
            <w:r>
              <w:rPr>
                <w:rFonts w:asciiTheme="minorHAnsi" w:hAnsiTheme="minorHAnsi" w:cstheme="minorHAnsi"/>
                <w:sz w:val="20"/>
                <w:szCs w:val="20"/>
                <w:lang w:val="es-EC"/>
              </w:rPr>
              <w:t xml:space="preserve">ajustables.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14.8</w:t>
            </w:r>
          </w:p>
        </w:tc>
        <w:tc>
          <w:tcPr>
            <w:tcW w:w="8334" w:type="dxa"/>
          </w:tcPr>
          <w:p>
            <w:pPr>
              <w:numPr>
                <w:ilvl w:val="0"/>
                <w:numId w:val="74"/>
              </w:numPr>
              <w:spacing w:after="0"/>
              <w:jc w:val="both"/>
              <w:rPr>
                <w:rFonts w:asciiTheme="minorHAnsi" w:hAnsiTheme="minorHAnsi" w:cstheme="minorHAnsi"/>
                <w:bCs/>
                <w:sz w:val="20"/>
                <w:szCs w:val="20"/>
                <w:lang w:val="es-EC"/>
              </w:rPr>
            </w:pPr>
            <w:r>
              <w:rPr>
                <w:rFonts w:asciiTheme="minorHAnsi" w:hAnsiTheme="minorHAnsi" w:cstheme="minorHAnsi"/>
                <w:bCs/>
                <w:sz w:val="20"/>
                <w:szCs w:val="20"/>
                <w:lang w:val="es-EC"/>
              </w:rPr>
              <w:t xml:space="preserve">Los precios cotizados para cada artículo deberán corresponder al </w:t>
            </w:r>
            <w:r>
              <w:rPr>
                <w:rFonts w:asciiTheme="minorHAnsi" w:hAnsiTheme="minorHAnsi" w:cstheme="minorHAnsi"/>
                <w:b/>
                <w:bCs/>
                <w:sz w:val="20"/>
                <w:szCs w:val="20"/>
                <w:lang w:val="es-EC"/>
              </w:rPr>
              <w:t>100%</w:t>
            </w:r>
            <w:r>
              <w:rPr>
                <w:rFonts w:asciiTheme="minorHAnsi" w:hAnsiTheme="minorHAnsi" w:cstheme="minorHAnsi"/>
                <w:bCs/>
                <w:sz w:val="20"/>
                <w:szCs w:val="20"/>
                <w:lang w:val="es-EC"/>
              </w:rPr>
              <w:t xml:space="preserve"> de los artículos listados. </w:t>
            </w:r>
          </w:p>
          <w:p>
            <w:pPr>
              <w:numPr>
                <w:ilvl w:val="0"/>
                <w:numId w:val="74"/>
              </w:numPr>
              <w:spacing w:after="0"/>
              <w:jc w:val="both"/>
              <w:rPr>
                <w:rFonts w:asciiTheme="minorHAnsi" w:hAnsiTheme="minorHAnsi" w:cstheme="minorHAnsi"/>
                <w:bCs/>
                <w:sz w:val="20"/>
                <w:szCs w:val="20"/>
                <w:lang w:val="es-EC"/>
              </w:rPr>
            </w:pPr>
            <w:r>
              <w:rPr>
                <w:rFonts w:asciiTheme="minorHAnsi" w:hAnsiTheme="minorHAnsi" w:cstheme="minorHAnsi"/>
                <w:bCs/>
                <w:sz w:val="20"/>
                <w:szCs w:val="20"/>
                <w:lang w:val="es-EC"/>
              </w:rPr>
              <w:t xml:space="preserve">Los precios cotizados para cada artículo deberán corresponder al </w:t>
            </w:r>
            <w:r>
              <w:rPr>
                <w:rFonts w:asciiTheme="minorHAnsi" w:hAnsiTheme="minorHAnsi" w:cstheme="minorHAnsi"/>
                <w:b/>
                <w:bCs/>
                <w:sz w:val="20"/>
                <w:szCs w:val="20"/>
                <w:lang w:val="es-EC"/>
              </w:rPr>
              <w:t xml:space="preserve">100% </w:t>
            </w:r>
            <w:r>
              <w:rPr>
                <w:rFonts w:asciiTheme="minorHAnsi" w:hAnsiTheme="minorHAnsi" w:cstheme="minorHAnsi"/>
                <w:bCs/>
                <w:sz w:val="20"/>
                <w:szCs w:val="20"/>
                <w:lang w:val="es-EC"/>
              </w:rPr>
              <w:t>de las cantidades especificadas de ese artículo dentro de este lote</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 xml:space="preserve">IAO 15.1 </w:t>
            </w:r>
          </w:p>
        </w:tc>
        <w:tc>
          <w:tcPr>
            <w:tcW w:w="8334" w:type="dxa"/>
          </w:tcPr>
          <w:p>
            <w:pPr>
              <w:tabs>
                <w:tab w:val="right" w:pos="7254"/>
              </w:tabs>
              <w:spacing w:before="60" w:after="60" w:line="240" w:lineRule="auto"/>
              <w:jc w:val="both"/>
              <w:rPr>
                <w:rFonts w:eastAsia="Times New Roman" w:asciiTheme="minorHAnsi" w:hAnsiTheme="minorHAnsi" w:cstheme="minorHAnsi"/>
                <w:i/>
                <w:sz w:val="20"/>
                <w:szCs w:val="20"/>
                <w:lang w:val="es-EC"/>
              </w:rPr>
            </w:pPr>
            <w:r>
              <w:rPr>
                <w:rFonts w:asciiTheme="minorHAnsi" w:hAnsiTheme="minorHAnsi" w:cstheme="minorHAnsi"/>
                <w:sz w:val="20"/>
                <w:szCs w:val="20"/>
                <w:lang w:val="es-EC"/>
              </w:rPr>
              <w:t xml:space="preserve">El Oferente </w:t>
            </w:r>
            <w:r>
              <w:rPr>
                <w:rFonts w:asciiTheme="minorHAnsi" w:hAnsiTheme="minorHAnsi" w:cstheme="minorHAnsi"/>
                <w:bCs/>
                <w:sz w:val="20"/>
                <w:szCs w:val="20"/>
                <w:lang w:val="es-EC"/>
              </w:rPr>
              <w:t>está</w:t>
            </w:r>
            <w:r>
              <w:rPr>
                <w:rFonts w:asciiTheme="minorHAnsi" w:hAnsiTheme="minorHAnsi" w:cstheme="minorHAnsi"/>
                <w:sz w:val="20"/>
                <w:szCs w:val="20"/>
                <w:lang w:val="es-EC"/>
              </w:rPr>
              <w:t xml:space="preserve"> obligado a cotizar en Dólares de los Estados Unidos de América</w:t>
            </w:r>
            <w:r>
              <w:rPr>
                <w:rFonts w:eastAsia="Times New Roman" w:asciiTheme="minorHAnsi" w:hAnsiTheme="minorHAnsi" w:cstheme="minorHAnsi"/>
                <w:b/>
                <w:i/>
                <w:iCs/>
                <w:sz w:val="20"/>
                <w:szCs w:val="20"/>
                <w:lang w:val="es-EC"/>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18.3</w:t>
            </w:r>
          </w:p>
        </w:tc>
        <w:tc>
          <w:tcPr>
            <w:tcW w:w="8334" w:type="dxa"/>
          </w:tcPr>
          <w:p>
            <w:pPr>
              <w:tabs>
                <w:tab w:val="right" w:pos="7254"/>
              </w:tabs>
              <w:spacing w:before="60" w:after="6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rPr>
              <w:t xml:space="preserve">El período de tiempo estimado de funcionamiento de los bienes (para efectos repuestos) es el previsto en cada una de las fichas técnicas.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19.1 (a)</w:t>
            </w:r>
          </w:p>
        </w:tc>
        <w:tc>
          <w:tcPr>
            <w:tcW w:w="8334" w:type="dxa"/>
          </w:tcPr>
          <w:p>
            <w:pPr>
              <w:pStyle w:val="64"/>
              <w:spacing w:before="100" w:beforeAutospacing="1" w:after="100" w:afterAutospacing="1" w:line="240" w:lineRule="auto"/>
              <w:ind w:left="0"/>
              <w:rPr>
                <w:rFonts w:asciiTheme="minorHAnsi" w:hAnsiTheme="minorHAnsi" w:cstheme="minorHAnsi"/>
                <w:sz w:val="20"/>
                <w:szCs w:val="20"/>
                <w:lang w:val="es-EC"/>
              </w:rPr>
            </w:pPr>
            <w:r>
              <w:rPr>
                <w:rFonts w:asciiTheme="minorHAnsi" w:hAnsiTheme="minorHAnsi" w:cstheme="minorHAnsi"/>
                <w:sz w:val="20"/>
                <w:szCs w:val="20"/>
                <w:lang w:val="es-EC"/>
              </w:rPr>
              <w:t xml:space="preserve">Se requiere la Autorización del Fabricante.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keepNext/>
              <w:keepLines/>
              <w:spacing w:before="60" w:after="60" w:line="240" w:lineRule="auto"/>
              <w:rPr>
                <w:rFonts w:eastAsia="Times New Roman" w:asciiTheme="minorHAnsi" w:hAnsiTheme="minorHAnsi" w:cstheme="minorHAnsi"/>
                <w:b/>
                <w:sz w:val="20"/>
                <w:szCs w:val="20"/>
                <w:lang w:val="es-EC"/>
              </w:rPr>
            </w:pPr>
            <w:r>
              <w:rPr>
                <w:rFonts w:eastAsia="Times New Roman" w:asciiTheme="minorHAnsi" w:hAnsiTheme="minorHAnsi" w:cstheme="minorHAnsi"/>
                <w:b/>
                <w:sz w:val="20"/>
                <w:szCs w:val="20"/>
                <w:lang w:val="es-EC"/>
              </w:rPr>
              <w:t>IAO 19.1 (b)</w:t>
            </w:r>
          </w:p>
        </w:tc>
        <w:tc>
          <w:tcPr>
            <w:tcW w:w="8334" w:type="dxa"/>
          </w:tcPr>
          <w:p>
            <w:pPr>
              <w:pStyle w:val="84"/>
              <w:rPr>
                <w:rFonts w:asciiTheme="minorHAnsi" w:hAnsiTheme="minorHAnsi" w:cstheme="minorHAnsi"/>
                <w:sz w:val="20"/>
                <w:szCs w:val="20"/>
                <w:lang w:val="es-EC" w:eastAsia="es-ES"/>
              </w:rPr>
            </w:pPr>
            <w:r>
              <w:rPr>
                <w:rFonts w:eastAsia="Times New Roman" w:asciiTheme="minorHAnsi" w:hAnsiTheme="minorHAnsi" w:cstheme="minorHAnsi"/>
                <w:color w:val="auto"/>
                <w:sz w:val="20"/>
                <w:szCs w:val="20"/>
                <w:lang w:val="es-EC"/>
              </w:rPr>
              <w:t xml:space="preserve">Se requieren Servicios posteriores a la venta.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20.1</w:t>
            </w:r>
          </w:p>
        </w:tc>
        <w:tc>
          <w:tcPr>
            <w:tcW w:w="8334" w:type="dxa"/>
          </w:tcPr>
          <w:p>
            <w:pPr>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plazo de validez de la oferta será de </w:t>
            </w:r>
            <w:r>
              <w:rPr>
                <w:rFonts w:asciiTheme="minorHAnsi" w:hAnsiTheme="minorHAnsi" w:cstheme="minorHAnsi"/>
                <w:b/>
                <w:sz w:val="20"/>
                <w:szCs w:val="20"/>
                <w:lang w:val="es-EC"/>
              </w:rPr>
              <w:t>120</w:t>
            </w:r>
            <w:r>
              <w:rPr>
                <w:rFonts w:asciiTheme="minorHAnsi" w:hAnsiTheme="minorHAnsi" w:cstheme="minorHAnsi"/>
                <w:sz w:val="20"/>
                <w:szCs w:val="20"/>
                <w:lang w:val="es-EC"/>
              </w:rPr>
              <w:t xml:space="preserve"> días.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689" w:hRule="atLeast"/>
        </w:trPr>
        <w:tc>
          <w:tcPr>
            <w:tcW w:w="1134" w:type="dxa"/>
          </w:tcPr>
          <w:p>
            <w:pPr>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21.1</w:t>
            </w:r>
          </w:p>
          <w:p>
            <w:pPr>
              <w:rPr>
                <w:rFonts w:eastAsia="Times New Roman" w:asciiTheme="minorHAnsi" w:hAnsiTheme="minorHAnsi" w:cstheme="minorHAnsi"/>
                <w:b/>
                <w:bCs/>
                <w:sz w:val="20"/>
                <w:szCs w:val="20"/>
                <w:lang w:val="es-EC"/>
              </w:rPr>
            </w:pPr>
          </w:p>
        </w:tc>
        <w:tc>
          <w:tcPr>
            <w:tcW w:w="8334" w:type="dxa"/>
          </w:tcPr>
          <w:p>
            <w:pPr>
              <w:spacing w:before="120" w:after="12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 oferta deberá incluir una </w:t>
            </w:r>
            <w:r>
              <w:rPr>
                <w:rFonts w:eastAsia="Times New Roman" w:asciiTheme="minorHAnsi" w:hAnsiTheme="minorHAnsi" w:cstheme="minorHAnsi"/>
                <w:iCs/>
                <w:sz w:val="20"/>
                <w:szCs w:val="20"/>
                <w:lang w:val="es-EC"/>
              </w:rPr>
              <w:t>Declaración de Mantenimiento de la Oferta</w:t>
            </w:r>
            <w:r>
              <w:rPr>
                <w:rFonts w:asciiTheme="minorHAnsi" w:hAnsiTheme="minorHAnsi" w:cstheme="minorHAnsi"/>
                <w:sz w:val="20"/>
                <w:szCs w:val="20"/>
                <w:lang w:val="es-EC"/>
              </w:rPr>
              <w:t xml:space="preserve"> utilizando el formulario incluido en la Sección  IV Formularios de la Oferta.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21.2</w:t>
            </w:r>
          </w:p>
        </w:tc>
        <w:tc>
          <w:tcPr>
            <w:tcW w:w="8334" w:type="dxa"/>
          </w:tcPr>
          <w:p>
            <w:pPr>
              <w:spacing w:before="120" w:after="120"/>
              <w:jc w:val="both"/>
              <w:rPr>
                <w:rFonts w:asciiTheme="minorHAnsi" w:hAnsiTheme="minorHAnsi" w:cstheme="minorHAnsi"/>
                <w:i/>
                <w:sz w:val="20"/>
                <w:szCs w:val="20"/>
                <w:lang w:val="es-EC"/>
              </w:rPr>
            </w:pPr>
            <w:r>
              <w:rPr>
                <w:rFonts w:asciiTheme="minorHAnsi" w:hAnsiTheme="minorHAnsi" w:cstheme="minorHAnsi"/>
                <w:sz w:val="20"/>
                <w:szCs w:val="20"/>
                <w:lang w:val="es-EC"/>
              </w:rPr>
              <w:t xml:space="preserve">El monto de la Garantía de Mantenimiento de la Oferta deberá ser: </w:t>
            </w:r>
            <w:r>
              <w:rPr>
                <w:rFonts w:eastAsia="Times New Roman" w:asciiTheme="minorHAnsi" w:hAnsiTheme="minorHAnsi" w:cstheme="minorHAnsi"/>
                <w:b/>
                <w:iCs/>
                <w:sz w:val="20"/>
                <w:szCs w:val="20"/>
                <w:lang w:val="es-EC"/>
              </w:rPr>
              <w:t>no aplica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21.7</w:t>
            </w:r>
          </w:p>
        </w:tc>
        <w:tc>
          <w:tcPr>
            <w:tcW w:w="8334" w:type="dxa"/>
          </w:tcPr>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Si el Oferente incurre en algunas de las acciones mencionadas en los subpárrafos (a) o (b) de esta disposición, el Prestatario declarará al Oferente inelegible para que el Comprador le adjudique contratos por un periodo de tres (</w:t>
            </w:r>
            <w:r>
              <w:rPr>
                <w:rFonts w:asciiTheme="minorHAnsi" w:hAnsiTheme="minorHAnsi" w:cstheme="minorHAnsi"/>
                <w:b/>
                <w:sz w:val="20"/>
                <w:szCs w:val="20"/>
                <w:lang w:val="es-EC"/>
              </w:rPr>
              <w:t>03</w:t>
            </w:r>
            <w:r>
              <w:rPr>
                <w:rFonts w:asciiTheme="minorHAnsi" w:hAnsiTheme="minorHAnsi" w:cstheme="minorHAnsi"/>
                <w:sz w:val="20"/>
                <w:szCs w:val="20"/>
                <w:lang w:val="es-EC"/>
              </w:rPr>
              <w:t>)</w:t>
            </w:r>
            <w:r>
              <w:rPr>
                <w:rFonts w:asciiTheme="minorHAnsi" w:hAnsiTheme="minorHAnsi" w:cstheme="minorHAnsi"/>
                <w:b/>
                <w:sz w:val="20"/>
                <w:szCs w:val="20"/>
                <w:lang w:val="es-EC"/>
              </w:rPr>
              <w:t xml:space="preserve"> </w:t>
            </w:r>
            <w:r>
              <w:rPr>
                <w:rFonts w:asciiTheme="minorHAnsi" w:hAnsiTheme="minorHAnsi" w:cstheme="minorHAnsi"/>
                <w:sz w:val="20"/>
                <w:szCs w:val="20"/>
                <w:lang w:val="es-EC"/>
              </w:rPr>
              <w:t xml:space="preserve">años.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22.1</w:t>
            </w:r>
          </w:p>
        </w:tc>
        <w:tc>
          <w:tcPr>
            <w:tcW w:w="8334" w:type="dxa"/>
          </w:tcPr>
          <w:p>
            <w:pPr>
              <w:spacing w:before="120" w:after="120"/>
              <w:jc w:val="both"/>
              <w:rPr>
                <w:rFonts w:asciiTheme="minorHAnsi" w:hAnsiTheme="minorHAnsi" w:cstheme="minorHAnsi"/>
                <w:i/>
                <w:strike/>
                <w:sz w:val="20"/>
                <w:szCs w:val="20"/>
                <w:lang w:val="es-EC"/>
              </w:rPr>
            </w:pPr>
            <w:r>
              <w:rPr>
                <w:rFonts w:asciiTheme="minorHAnsi" w:hAnsiTheme="minorHAnsi" w:cstheme="minorHAnsi"/>
                <w:sz w:val="20"/>
                <w:szCs w:val="20"/>
                <w:lang w:val="es-EC"/>
              </w:rPr>
              <w:t xml:space="preserve">Además de la oferta original impresa, la cual deberá estar </w:t>
            </w:r>
            <w:r>
              <w:rPr>
                <w:rFonts w:asciiTheme="minorHAnsi" w:hAnsiTheme="minorHAnsi" w:cstheme="minorHAnsi"/>
                <w:b/>
                <w:sz w:val="20"/>
                <w:szCs w:val="20"/>
                <w:lang w:val="es-EC"/>
              </w:rPr>
              <w:t>sumillada y numerada</w:t>
            </w:r>
            <w:r>
              <w:rPr>
                <w:rFonts w:asciiTheme="minorHAnsi" w:hAnsiTheme="minorHAnsi" w:cstheme="minorHAnsi"/>
                <w:sz w:val="20"/>
                <w:szCs w:val="20"/>
                <w:lang w:val="es-EC"/>
              </w:rPr>
              <w:t xml:space="preserve"> (anillada y ordenada) se entregará, una copia impresa y un CD en formato no editable.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p>
        </w:tc>
        <w:tc>
          <w:tcPr>
            <w:tcW w:w="8334" w:type="dxa"/>
          </w:tcPr>
          <w:p>
            <w:pPr>
              <w:spacing w:before="60" w:after="60" w:line="240" w:lineRule="auto"/>
              <w:jc w:val="center"/>
              <w:rPr>
                <w:rFonts w:eastAsia="Times New Roman" w:asciiTheme="minorHAnsi" w:hAnsiTheme="minorHAnsi" w:cstheme="minorHAnsi"/>
                <w:b/>
                <w:bCs/>
                <w:sz w:val="20"/>
                <w:szCs w:val="20"/>
                <w:lang w:val="es-EC"/>
              </w:rPr>
            </w:pPr>
            <w:bookmarkStart w:id="287" w:name="_Toc505659532"/>
            <w:bookmarkStart w:id="288" w:name="_Toc506185680"/>
            <w:r>
              <w:rPr>
                <w:rFonts w:eastAsia="Times New Roman" w:asciiTheme="minorHAnsi" w:hAnsiTheme="minorHAnsi" w:cstheme="minorHAnsi"/>
                <w:b/>
                <w:bCs/>
                <w:sz w:val="20"/>
                <w:szCs w:val="20"/>
                <w:lang w:val="es-EC"/>
              </w:rPr>
              <w:t xml:space="preserve">D. Presentación y Apertura de las Ofertas </w:t>
            </w:r>
            <w:bookmarkEnd w:id="287"/>
            <w:bookmarkEnd w:id="288"/>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23.1</w:t>
            </w:r>
          </w:p>
        </w:tc>
        <w:tc>
          <w:tcPr>
            <w:tcW w:w="8334" w:type="dxa"/>
          </w:tcPr>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Oferentes </w:t>
            </w:r>
            <w:r>
              <w:rPr>
                <w:rFonts w:asciiTheme="minorHAnsi" w:hAnsiTheme="minorHAnsi" w:cstheme="minorHAnsi"/>
                <w:b/>
                <w:sz w:val="20"/>
                <w:szCs w:val="20"/>
                <w:lang w:val="es-EC"/>
              </w:rPr>
              <w:t xml:space="preserve">no tendrán </w:t>
            </w:r>
            <w:r>
              <w:rPr>
                <w:rFonts w:asciiTheme="minorHAnsi" w:hAnsiTheme="minorHAnsi" w:cstheme="minorHAnsi"/>
                <w:sz w:val="20"/>
                <w:szCs w:val="20"/>
                <w:lang w:val="es-EC"/>
              </w:rPr>
              <w:t>la opción de presentar sus ofertas electrónicamente.</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23.1 (b)</w:t>
            </w:r>
          </w:p>
        </w:tc>
        <w:tc>
          <w:tcPr>
            <w:tcW w:w="8334" w:type="dxa"/>
          </w:tcPr>
          <w:p>
            <w:pPr>
              <w:spacing w:before="120" w:after="120"/>
              <w:jc w:val="both"/>
              <w:rPr>
                <w:rFonts w:asciiTheme="minorHAnsi" w:hAnsiTheme="minorHAnsi" w:cstheme="minorHAnsi"/>
                <w:sz w:val="20"/>
                <w:szCs w:val="20"/>
                <w:lang w:val="es-EC"/>
              </w:rPr>
            </w:pPr>
            <w:r>
              <w:rPr>
                <w:rFonts w:asciiTheme="minorHAnsi" w:hAnsiTheme="minorHAnsi" w:cstheme="minorHAnsi"/>
                <w:b/>
                <w:sz w:val="20"/>
                <w:szCs w:val="20"/>
                <w:lang w:val="es-EC"/>
              </w:rPr>
              <w:t>No aplica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23.2 (c)</w:t>
            </w:r>
          </w:p>
        </w:tc>
        <w:tc>
          <w:tcPr>
            <w:tcW w:w="8334" w:type="dxa"/>
          </w:tcPr>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sobres interiores y exteriores deberán portar las siguientes leyendas adicionales de identificación: </w:t>
            </w:r>
          </w:p>
          <w:p>
            <w:pPr>
              <w:spacing w:after="0" w:line="36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SOBRE ÚNICO </w:t>
            </w:r>
          </w:p>
          <w:p>
            <w:pPr>
              <w:spacing w:before="120" w:after="120"/>
              <w:jc w:val="both"/>
              <w:rPr>
                <w:rFonts w:asciiTheme="minorHAnsi" w:hAnsiTheme="minorHAnsi" w:cstheme="minorHAnsi"/>
                <w:b/>
                <w:sz w:val="20"/>
                <w:szCs w:val="20"/>
                <w:lang w:val="es-EC"/>
              </w:rPr>
            </w:pPr>
            <w:r>
              <w:rPr>
                <w:rFonts w:asciiTheme="minorHAnsi" w:hAnsiTheme="minorHAnsi" w:cstheme="minorHAnsi"/>
                <w:b/>
                <w:sz w:val="20"/>
                <w:szCs w:val="20"/>
                <w:lang w:val="es-EC"/>
              </w:rPr>
              <w:t>LPI-4364-001-2019</w:t>
            </w:r>
          </w:p>
          <w:p>
            <w:pPr>
              <w:spacing w:before="120" w:after="120"/>
              <w:jc w:val="both"/>
              <w:rPr>
                <w:rFonts w:asciiTheme="minorHAnsi" w:hAnsiTheme="minorHAnsi" w:cstheme="minorHAnsi"/>
                <w:sz w:val="20"/>
                <w:szCs w:val="20"/>
                <w:lang w:val="es-EC"/>
              </w:rPr>
            </w:pPr>
            <w:r>
              <w:rPr>
                <w:rFonts w:asciiTheme="minorHAnsi" w:hAnsiTheme="minorHAnsi" w:cstheme="minorHAnsi"/>
                <w:b/>
                <w:sz w:val="20"/>
                <w:szCs w:val="20"/>
                <w:lang w:val="es-EC"/>
              </w:rPr>
              <w:t>“ADQUISICIÓN DE EQUIPOS DE NEONATOLOGÍA PARA HOSPITALES DE SEGUNDO Y TERCER NIVEL DE ATENCIÓN PARA LAS ZONAS 1, 4 Y 9  (EQUIPAMIENTO DE NEONATOLOGIA EN HOSPITALES PRIORIZADOS INSTALADO)”.</w:t>
            </w:r>
            <w:r>
              <w:rPr>
                <w:rFonts w:asciiTheme="minorHAnsi" w:hAnsiTheme="minorHAnsi" w:cstheme="minorHAnsi"/>
                <w:sz w:val="20"/>
                <w:szCs w:val="20"/>
                <w:lang w:val="es-EC"/>
              </w:rPr>
              <w:t xml:space="preserve"> </w:t>
            </w:r>
          </w:p>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Original o copia</w:t>
            </w:r>
          </w:p>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Ofer</w:t>
            </w:r>
            <w:r>
              <w:rPr>
                <w:rFonts w:asciiTheme="minorHAnsi" w:hAnsiTheme="minorHAnsi" w:cstheme="minorHAnsi"/>
                <w:spacing w:val="1"/>
                <w:sz w:val="20"/>
                <w:szCs w:val="20"/>
                <w:lang w:val="es-EC"/>
              </w:rPr>
              <w:t>e</w:t>
            </w:r>
            <w:r>
              <w:rPr>
                <w:rFonts w:asciiTheme="minorHAnsi" w:hAnsiTheme="minorHAnsi" w:cstheme="minorHAnsi"/>
                <w:spacing w:val="-1"/>
                <w:sz w:val="20"/>
                <w:szCs w:val="20"/>
                <w:lang w:val="es-EC"/>
              </w:rPr>
              <w:t>n</w:t>
            </w:r>
            <w:r>
              <w:rPr>
                <w:rFonts w:asciiTheme="minorHAnsi" w:hAnsiTheme="minorHAnsi" w:cstheme="minorHAnsi"/>
                <w:spacing w:val="-2"/>
                <w:sz w:val="20"/>
                <w:szCs w:val="20"/>
                <w:lang w:val="es-EC"/>
              </w:rPr>
              <w:t>t</w:t>
            </w:r>
            <w:r>
              <w:rPr>
                <w:rFonts w:asciiTheme="minorHAnsi" w:hAnsiTheme="minorHAnsi" w:cstheme="minorHAnsi"/>
                <w:sz w:val="20"/>
                <w:szCs w:val="20"/>
                <w:lang w:val="es-EC"/>
              </w:rPr>
              <w:t>e:(C</w:t>
            </w:r>
            <w:r>
              <w:rPr>
                <w:rFonts w:asciiTheme="minorHAnsi" w:hAnsiTheme="minorHAnsi" w:cstheme="minorHAnsi"/>
                <w:spacing w:val="1"/>
                <w:sz w:val="20"/>
                <w:szCs w:val="20"/>
                <w:lang w:val="es-EC"/>
              </w:rPr>
              <w:t>o</w:t>
            </w:r>
            <w:r>
              <w:rPr>
                <w:rFonts w:asciiTheme="minorHAnsi" w:hAnsiTheme="minorHAnsi" w:cstheme="minorHAnsi"/>
                <w:spacing w:val="-3"/>
                <w:sz w:val="20"/>
                <w:szCs w:val="20"/>
                <w:lang w:val="es-EC"/>
              </w:rPr>
              <w:t>l</w:t>
            </w:r>
            <w:r>
              <w:rPr>
                <w:rFonts w:asciiTheme="minorHAnsi" w:hAnsiTheme="minorHAnsi" w:cstheme="minorHAnsi"/>
                <w:spacing w:val="1"/>
                <w:sz w:val="20"/>
                <w:szCs w:val="20"/>
                <w:lang w:val="es-EC"/>
              </w:rPr>
              <w:t>o</w:t>
            </w:r>
            <w:r>
              <w:rPr>
                <w:rFonts w:asciiTheme="minorHAnsi" w:hAnsiTheme="minorHAnsi" w:cstheme="minorHAnsi"/>
                <w:sz w:val="20"/>
                <w:szCs w:val="20"/>
                <w:lang w:val="es-EC"/>
              </w:rPr>
              <w:t xml:space="preserve">car </w:t>
            </w:r>
            <w:r>
              <w:rPr>
                <w:rFonts w:asciiTheme="minorHAnsi" w:hAnsiTheme="minorHAnsi" w:cstheme="minorHAnsi"/>
                <w:spacing w:val="-3"/>
                <w:sz w:val="20"/>
                <w:szCs w:val="20"/>
                <w:lang w:val="es-EC"/>
              </w:rPr>
              <w:t>n</w:t>
            </w:r>
            <w:r>
              <w:rPr>
                <w:rFonts w:asciiTheme="minorHAnsi" w:hAnsiTheme="minorHAnsi" w:cstheme="minorHAnsi"/>
                <w:spacing w:val="-1"/>
                <w:sz w:val="20"/>
                <w:szCs w:val="20"/>
                <w:lang w:val="es-EC"/>
              </w:rPr>
              <w:t>o</w:t>
            </w:r>
            <w:r>
              <w:rPr>
                <w:rFonts w:asciiTheme="minorHAnsi" w:hAnsiTheme="minorHAnsi" w:cstheme="minorHAnsi"/>
                <w:spacing w:val="1"/>
                <w:sz w:val="20"/>
                <w:szCs w:val="20"/>
                <w:lang w:val="es-EC"/>
              </w:rPr>
              <w:t>m</w:t>
            </w:r>
            <w:r>
              <w:rPr>
                <w:rFonts w:asciiTheme="minorHAnsi" w:hAnsiTheme="minorHAnsi" w:cstheme="minorHAnsi"/>
                <w:spacing w:val="-1"/>
                <w:sz w:val="20"/>
                <w:szCs w:val="20"/>
                <w:lang w:val="es-EC"/>
              </w:rPr>
              <w:t>b</w:t>
            </w:r>
            <w:r>
              <w:rPr>
                <w:rFonts w:asciiTheme="minorHAnsi" w:hAnsiTheme="minorHAnsi" w:cstheme="minorHAnsi"/>
                <w:spacing w:val="-3"/>
                <w:sz w:val="20"/>
                <w:szCs w:val="20"/>
                <w:lang w:val="es-EC"/>
              </w:rPr>
              <w:t>r</w:t>
            </w:r>
            <w:r>
              <w:rPr>
                <w:rFonts w:asciiTheme="minorHAnsi" w:hAnsiTheme="minorHAnsi" w:cstheme="minorHAnsi"/>
                <w:sz w:val="20"/>
                <w:szCs w:val="20"/>
                <w:lang w:val="es-EC"/>
              </w:rPr>
              <w:t xml:space="preserve">e </w:t>
            </w:r>
            <w:r>
              <w:rPr>
                <w:rFonts w:asciiTheme="minorHAnsi" w:hAnsiTheme="minorHAnsi" w:cstheme="minorHAnsi"/>
                <w:spacing w:val="-1"/>
                <w:sz w:val="20"/>
                <w:szCs w:val="20"/>
                <w:lang w:val="es-EC"/>
              </w:rPr>
              <w:t>d</w:t>
            </w:r>
            <w:r>
              <w:rPr>
                <w:rFonts w:asciiTheme="minorHAnsi" w:hAnsiTheme="minorHAnsi" w:cstheme="minorHAnsi"/>
                <w:sz w:val="20"/>
                <w:szCs w:val="20"/>
                <w:lang w:val="es-EC"/>
              </w:rPr>
              <w:t xml:space="preserve">el </w:t>
            </w:r>
            <w:r>
              <w:rPr>
                <w:rFonts w:asciiTheme="minorHAnsi" w:hAnsiTheme="minorHAnsi" w:cstheme="minorHAnsi"/>
                <w:spacing w:val="1"/>
                <w:sz w:val="20"/>
                <w:szCs w:val="20"/>
                <w:lang w:val="es-EC"/>
              </w:rPr>
              <w:t>o</w:t>
            </w:r>
            <w:r>
              <w:rPr>
                <w:rFonts w:asciiTheme="minorHAnsi" w:hAnsiTheme="minorHAnsi" w:cstheme="minorHAnsi"/>
                <w:sz w:val="20"/>
                <w:szCs w:val="20"/>
                <w:lang w:val="es-EC"/>
              </w:rPr>
              <w:t>fe</w:t>
            </w:r>
            <w:r>
              <w:rPr>
                <w:rFonts w:asciiTheme="minorHAnsi" w:hAnsiTheme="minorHAnsi" w:cstheme="minorHAnsi"/>
                <w:spacing w:val="-2"/>
                <w:sz w:val="20"/>
                <w:szCs w:val="20"/>
                <w:lang w:val="es-EC"/>
              </w:rPr>
              <w:t>r</w:t>
            </w:r>
            <w:r>
              <w:rPr>
                <w:rFonts w:asciiTheme="minorHAnsi" w:hAnsiTheme="minorHAnsi" w:cstheme="minorHAnsi"/>
                <w:sz w:val="20"/>
                <w:szCs w:val="20"/>
                <w:lang w:val="es-EC"/>
              </w:rPr>
              <w:t xml:space="preserve">ente) </w:t>
            </w:r>
          </w:p>
          <w:p>
            <w:pPr>
              <w:spacing w:before="120" w:after="120"/>
              <w:jc w:val="both"/>
              <w:rPr>
                <w:rFonts w:asciiTheme="minorHAnsi" w:hAnsiTheme="minorHAnsi" w:cstheme="minorHAnsi"/>
                <w:sz w:val="20"/>
                <w:szCs w:val="20"/>
                <w:lang w:val="es-EC"/>
              </w:rPr>
            </w:pPr>
            <w:r>
              <w:rPr>
                <w:rFonts w:asciiTheme="minorHAnsi" w:hAnsiTheme="minorHAnsi" w:cstheme="minorHAnsi"/>
                <w:spacing w:val="-1"/>
                <w:sz w:val="20"/>
                <w:szCs w:val="20"/>
                <w:lang w:val="es-EC"/>
              </w:rPr>
              <w:t>N</w:t>
            </w:r>
            <w:r>
              <w:rPr>
                <w:rFonts w:asciiTheme="minorHAnsi" w:hAnsiTheme="minorHAnsi" w:cstheme="minorHAnsi"/>
                <w:sz w:val="20"/>
                <w:szCs w:val="20"/>
                <w:lang w:val="es-EC"/>
              </w:rPr>
              <w:t>o abr</w:t>
            </w:r>
            <w:r>
              <w:rPr>
                <w:rFonts w:asciiTheme="minorHAnsi" w:hAnsiTheme="minorHAnsi" w:cstheme="minorHAnsi"/>
                <w:spacing w:val="-1"/>
                <w:sz w:val="20"/>
                <w:szCs w:val="20"/>
                <w:lang w:val="es-EC"/>
              </w:rPr>
              <w:t>i</w:t>
            </w:r>
            <w:r>
              <w:rPr>
                <w:rFonts w:asciiTheme="minorHAnsi" w:hAnsiTheme="minorHAnsi" w:cstheme="minorHAnsi"/>
                <w:sz w:val="20"/>
                <w:szCs w:val="20"/>
                <w:lang w:val="es-EC"/>
              </w:rPr>
              <w:t>r an</w:t>
            </w:r>
            <w:r>
              <w:rPr>
                <w:rFonts w:asciiTheme="minorHAnsi" w:hAnsiTheme="minorHAnsi" w:cstheme="minorHAnsi"/>
                <w:spacing w:val="-3"/>
                <w:sz w:val="20"/>
                <w:szCs w:val="20"/>
                <w:lang w:val="es-EC"/>
              </w:rPr>
              <w:t>t</w:t>
            </w:r>
            <w:r>
              <w:rPr>
                <w:rFonts w:asciiTheme="minorHAnsi" w:hAnsiTheme="minorHAnsi" w:cstheme="minorHAnsi"/>
                <w:sz w:val="20"/>
                <w:szCs w:val="20"/>
                <w:lang w:val="es-EC"/>
              </w:rPr>
              <w:t xml:space="preserve">es </w:t>
            </w:r>
            <w:r>
              <w:rPr>
                <w:rFonts w:asciiTheme="minorHAnsi" w:hAnsiTheme="minorHAnsi" w:cstheme="minorHAnsi"/>
                <w:spacing w:val="-1"/>
                <w:sz w:val="20"/>
                <w:szCs w:val="20"/>
                <w:lang w:val="es-EC"/>
              </w:rPr>
              <w:t>d</w:t>
            </w:r>
            <w:r>
              <w:rPr>
                <w:rFonts w:asciiTheme="minorHAnsi" w:hAnsiTheme="minorHAnsi" w:cstheme="minorHAnsi"/>
                <w:spacing w:val="-2"/>
                <w:sz w:val="20"/>
                <w:szCs w:val="20"/>
                <w:lang w:val="es-EC"/>
              </w:rPr>
              <w:t>e</w:t>
            </w:r>
            <w:r>
              <w:rPr>
                <w:rFonts w:asciiTheme="minorHAnsi" w:hAnsiTheme="minorHAnsi" w:cstheme="minorHAnsi"/>
                <w:sz w:val="20"/>
                <w:szCs w:val="20"/>
                <w:lang w:val="es-EC"/>
              </w:rPr>
              <w:t>: (Colocar la fecha de la presentación de oferta)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 xml:space="preserve">IAO 24.1 </w:t>
            </w:r>
          </w:p>
        </w:tc>
        <w:tc>
          <w:tcPr>
            <w:tcW w:w="8334" w:type="dxa"/>
          </w:tcPr>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Para propósitos de la </w:t>
            </w:r>
            <w:r>
              <w:rPr>
                <w:rFonts w:asciiTheme="minorHAnsi" w:hAnsiTheme="minorHAnsi" w:cstheme="minorHAnsi"/>
                <w:sz w:val="20"/>
                <w:szCs w:val="20"/>
                <w:u w:val="single"/>
                <w:lang w:val="es-EC"/>
              </w:rPr>
              <w:t>presentación de las ofertas</w:t>
            </w:r>
            <w:r>
              <w:rPr>
                <w:rFonts w:asciiTheme="minorHAnsi" w:hAnsiTheme="minorHAnsi" w:cstheme="minorHAnsi"/>
                <w:sz w:val="20"/>
                <w:szCs w:val="20"/>
                <w:lang w:val="es-EC"/>
              </w:rPr>
              <w:t>, la dirección del Comprador es:</w:t>
            </w:r>
          </w:p>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Atención: </w:t>
            </w:r>
          </w:p>
          <w:p>
            <w:pPr>
              <w:pStyle w:val="100"/>
              <w:widowControl w:val="0"/>
              <w:tabs>
                <w:tab w:val="left" w:pos="780"/>
              </w:tabs>
              <w:ind w:left="0"/>
              <w:rPr>
                <w:rFonts w:asciiTheme="minorHAnsi" w:hAnsiTheme="minorHAnsi" w:cstheme="minorHAnsi"/>
                <w:sz w:val="20"/>
                <w:lang w:val="es-EC"/>
              </w:rPr>
            </w:pPr>
            <w:r>
              <w:rPr>
                <w:rFonts w:asciiTheme="minorHAnsi" w:hAnsiTheme="minorHAnsi" w:cstheme="minorHAnsi"/>
                <w:sz w:val="20"/>
                <w:lang w:val="es-EC"/>
              </w:rPr>
              <w:t>Eco. Cristhian Franco - Gerente del Proyecto BID-MSP / Ministerio de Salud Pública.</w:t>
            </w:r>
          </w:p>
          <w:p>
            <w:pPr>
              <w:keepNext/>
              <w:keepLines/>
              <w:spacing w:before="120" w:after="120"/>
              <w:jc w:val="both"/>
              <w:rPr>
                <w:rFonts w:asciiTheme="minorHAnsi" w:hAnsiTheme="minorHAnsi" w:cstheme="minorHAnsi"/>
                <w:sz w:val="20"/>
                <w:szCs w:val="20"/>
                <w:lang w:val="es-EC"/>
              </w:rPr>
            </w:pPr>
            <w:r>
              <w:rPr>
                <w:rFonts w:asciiTheme="minorHAnsi" w:hAnsiTheme="minorHAnsi" w:cstheme="minorHAnsi"/>
                <w:b/>
                <w:sz w:val="20"/>
                <w:szCs w:val="20"/>
                <w:lang w:val="es-EC"/>
              </w:rPr>
              <w:t>Dirección:</w:t>
            </w:r>
            <w:r>
              <w:rPr>
                <w:rFonts w:asciiTheme="minorHAnsi" w:hAnsiTheme="minorHAnsi" w:cstheme="minorHAnsi"/>
                <w:sz w:val="20"/>
                <w:szCs w:val="20"/>
                <w:lang w:val="es-EC"/>
              </w:rPr>
              <w:t xml:space="preserve"> Plataforma Gubernamental de Desarrollo Social, Av. Quitumbe Ñan y Amaru Ñan,</w:t>
            </w:r>
            <w:r>
              <w:rPr>
                <w:rFonts w:asciiTheme="minorHAnsi" w:hAnsiTheme="minorHAnsi" w:cstheme="minorHAnsi"/>
                <w:sz w:val="20"/>
                <w:szCs w:val="20"/>
                <w:shd w:val="clear" w:color="auto" w:fill="FFFFFF"/>
                <w:lang w:val="es-EC"/>
              </w:rPr>
              <w:t>/ tercer piso – oficina 308/ Proyecto BID – MSP / Ministerio de Salud Pública</w:t>
            </w:r>
          </w:p>
          <w:p>
            <w:pPr>
              <w:keepNext/>
              <w:keepLines/>
              <w:spacing w:before="120" w:after="120"/>
              <w:jc w:val="both"/>
              <w:rPr>
                <w:rFonts w:asciiTheme="minorHAnsi" w:hAnsiTheme="minorHAnsi" w:cstheme="minorHAnsi"/>
                <w:sz w:val="20"/>
                <w:szCs w:val="20"/>
                <w:shd w:val="clear" w:color="auto" w:fill="FFFFFF"/>
                <w:lang w:val="es-EC"/>
              </w:rPr>
            </w:pPr>
            <w:r>
              <w:rPr>
                <w:rFonts w:asciiTheme="minorHAnsi" w:hAnsiTheme="minorHAnsi" w:cstheme="minorHAnsi"/>
                <w:b/>
                <w:sz w:val="20"/>
                <w:szCs w:val="20"/>
                <w:shd w:val="clear" w:color="auto" w:fill="FFFFFF"/>
                <w:lang w:val="es-EC"/>
              </w:rPr>
              <w:t>Código Postal:</w:t>
            </w:r>
            <w:r>
              <w:rPr>
                <w:rFonts w:asciiTheme="minorHAnsi" w:hAnsiTheme="minorHAnsi" w:cstheme="minorHAnsi"/>
                <w:sz w:val="20"/>
                <w:szCs w:val="20"/>
                <w:shd w:val="clear" w:color="auto" w:fill="FFFFFF"/>
                <w:lang w:val="es-EC"/>
              </w:rPr>
              <w:t xml:space="preserve"> 170702</w:t>
            </w:r>
          </w:p>
          <w:p>
            <w:pPr>
              <w:keepNext/>
              <w:keepLines/>
              <w:tabs>
                <w:tab w:val="left" w:pos="1309"/>
              </w:tabs>
              <w:jc w:val="both"/>
              <w:rPr>
                <w:rFonts w:asciiTheme="minorHAnsi" w:hAnsiTheme="minorHAnsi" w:cstheme="minorHAnsi"/>
                <w:sz w:val="20"/>
                <w:szCs w:val="20"/>
                <w:lang w:val="es-EC"/>
              </w:rPr>
            </w:pPr>
            <w:r>
              <w:rPr>
                <w:rFonts w:asciiTheme="minorHAnsi" w:hAnsiTheme="minorHAnsi" w:cstheme="minorHAnsi"/>
                <w:b/>
                <w:sz w:val="20"/>
                <w:szCs w:val="20"/>
                <w:lang w:val="es-EC"/>
              </w:rPr>
              <w:t>Ciudad:</w:t>
            </w:r>
            <w:r>
              <w:rPr>
                <w:rFonts w:asciiTheme="minorHAnsi" w:hAnsiTheme="minorHAnsi" w:cstheme="minorHAnsi"/>
                <w:sz w:val="20"/>
                <w:szCs w:val="20"/>
                <w:lang w:val="es-EC"/>
              </w:rPr>
              <w:t xml:space="preserve"> Quito.</w:t>
            </w:r>
          </w:p>
          <w:p>
            <w:pPr>
              <w:pStyle w:val="100"/>
              <w:widowControl w:val="0"/>
              <w:tabs>
                <w:tab w:val="left" w:pos="1026"/>
              </w:tabs>
              <w:ind w:left="1026" w:hanging="1026"/>
              <w:rPr>
                <w:rFonts w:eastAsia="Calibri" w:asciiTheme="minorHAnsi" w:hAnsiTheme="minorHAnsi" w:cstheme="minorHAnsi"/>
                <w:sz w:val="20"/>
                <w:lang w:val="es-EC" w:eastAsia="en-US"/>
              </w:rPr>
            </w:pPr>
            <w:r>
              <w:rPr>
                <w:rFonts w:eastAsia="Calibri" w:asciiTheme="minorHAnsi" w:hAnsiTheme="minorHAnsi" w:cstheme="minorHAnsi"/>
                <w:b/>
                <w:sz w:val="20"/>
                <w:lang w:val="es-EC" w:eastAsia="en-US"/>
              </w:rPr>
              <w:t>País:</w:t>
            </w:r>
            <w:r>
              <w:rPr>
                <w:rFonts w:eastAsia="Calibri" w:asciiTheme="minorHAnsi" w:hAnsiTheme="minorHAnsi" w:cstheme="minorHAnsi"/>
                <w:sz w:val="20"/>
                <w:lang w:val="es-EC" w:eastAsia="en-US"/>
              </w:rPr>
              <w:t xml:space="preserve"> Ecuador </w:t>
            </w:r>
          </w:p>
          <w:p>
            <w:pPr>
              <w:spacing w:before="120" w:after="120"/>
              <w:jc w:val="both"/>
              <w:rPr>
                <w:rFonts w:asciiTheme="minorHAnsi" w:hAnsiTheme="minorHAnsi" w:cstheme="minorHAnsi"/>
                <w:b/>
                <w:sz w:val="20"/>
                <w:szCs w:val="20"/>
                <w:lang w:val="es-EC"/>
              </w:rPr>
            </w:pPr>
            <w:r>
              <w:rPr>
                <w:rFonts w:asciiTheme="minorHAnsi" w:hAnsiTheme="minorHAnsi" w:cstheme="minorHAnsi"/>
                <w:b/>
                <w:sz w:val="20"/>
                <w:szCs w:val="20"/>
                <w:lang w:val="es-EC"/>
              </w:rPr>
              <w:t xml:space="preserve">La fecha límite para presentar las ofertas es: </w:t>
            </w:r>
          </w:p>
          <w:p>
            <w:pPr>
              <w:spacing w:before="120" w:after="120"/>
              <w:jc w:val="both"/>
              <w:rPr>
                <w:rFonts w:asciiTheme="minorHAnsi" w:hAnsiTheme="minorHAnsi" w:cstheme="minorHAnsi"/>
                <w:b/>
                <w:sz w:val="20"/>
                <w:szCs w:val="20"/>
                <w:lang w:val="es-EC"/>
              </w:rPr>
            </w:pPr>
            <w:r>
              <w:rPr>
                <w:rFonts w:asciiTheme="minorHAnsi" w:hAnsiTheme="minorHAnsi" w:cstheme="minorHAnsi"/>
                <w:b/>
                <w:sz w:val="20"/>
                <w:szCs w:val="20"/>
                <w:lang w:val="es-EC"/>
              </w:rPr>
              <w:t>Fecha: 27 de diciembre de 2019</w:t>
            </w:r>
          </w:p>
          <w:p>
            <w:pPr>
              <w:spacing w:before="120" w:after="120"/>
              <w:jc w:val="both"/>
              <w:rPr>
                <w:rFonts w:asciiTheme="minorHAnsi" w:hAnsiTheme="minorHAnsi" w:cstheme="minorHAnsi"/>
                <w:i/>
                <w:sz w:val="20"/>
                <w:szCs w:val="20"/>
                <w:lang w:val="es-EC"/>
              </w:rPr>
            </w:pPr>
            <w:r>
              <w:rPr>
                <w:rFonts w:asciiTheme="minorHAnsi" w:hAnsiTheme="minorHAnsi" w:cstheme="minorHAnsi"/>
                <w:b/>
                <w:sz w:val="20"/>
                <w:szCs w:val="20"/>
                <w:lang w:val="es-EC"/>
              </w:rPr>
              <w:t>Hora: 10:00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27.1</w:t>
            </w:r>
          </w:p>
        </w:tc>
        <w:tc>
          <w:tcPr>
            <w:tcW w:w="8334" w:type="dxa"/>
          </w:tcPr>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 </w:t>
            </w:r>
            <w:r>
              <w:rPr>
                <w:rFonts w:asciiTheme="minorHAnsi" w:hAnsiTheme="minorHAnsi" w:cstheme="minorHAnsi"/>
                <w:sz w:val="20"/>
                <w:szCs w:val="20"/>
                <w:u w:val="single"/>
                <w:lang w:val="es-EC"/>
              </w:rPr>
              <w:t>apertura de las ofertas</w:t>
            </w:r>
            <w:r>
              <w:rPr>
                <w:rFonts w:asciiTheme="minorHAnsi" w:hAnsiTheme="minorHAnsi" w:cstheme="minorHAnsi"/>
                <w:sz w:val="20"/>
                <w:szCs w:val="20"/>
                <w:lang w:val="es-EC"/>
              </w:rPr>
              <w:t xml:space="preserve"> tendrá lugar en:</w:t>
            </w:r>
          </w:p>
          <w:p>
            <w:pPr>
              <w:keepNext/>
              <w:keepLines/>
              <w:spacing w:before="120" w:after="120"/>
              <w:jc w:val="both"/>
              <w:rPr>
                <w:rFonts w:asciiTheme="minorHAnsi" w:hAnsiTheme="minorHAnsi" w:cstheme="minorHAnsi"/>
                <w:sz w:val="20"/>
                <w:szCs w:val="20"/>
                <w:lang w:val="es-EC"/>
              </w:rPr>
            </w:pPr>
            <w:r>
              <w:rPr>
                <w:rFonts w:asciiTheme="minorHAnsi" w:hAnsiTheme="minorHAnsi" w:cstheme="minorHAnsi"/>
                <w:b/>
                <w:sz w:val="20"/>
                <w:szCs w:val="20"/>
                <w:lang w:val="es-EC"/>
              </w:rPr>
              <w:t>Dirección:</w:t>
            </w:r>
            <w:r>
              <w:rPr>
                <w:rFonts w:asciiTheme="minorHAnsi" w:hAnsiTheme="minorHAnsi" w:cstheme="minorHAnsi"/>
                <w:sz w:val="20"/>
                <w:szCs w:val="20"/>
                <w:lang w:val="es-EC"/>
              </w:rPr>
              <w:t xml:space="preserve"> Plataforma Gubernamental de Desarrollo Social, Av. Quitumbe Ñan y Amaru Ñan,</w:t>
            </w:r>
            <w:r>
              <w:rPr>
                <w:rFonts w:asciiTheme="minorHAnsi" w:hAnsiTheme="minorHAnsi" w:cstheme="minorHAnsi"/>
                <w:sz w:val="20"/>
                <w:szCs w:val="20"/>
                <w:shd w:val="clear" w:color="auto" w:fill="FFFFFF"/>
                <w:lang w:val="es-EC"/>
              </w:rPr>
              <w:t>/ tercer piso – oficina 308/ Proyecto BID – MSP / Ministerio de Salud Pública</w:t>
            </w:r>
          </w:p>
          <w:p>
            <w:pPr>
              <w:spacing w:before="120" w:after="120"/>
              <w:jc w:val="both"/>
              <w:rPr>
                <w:rFonts w:asciiTheme="minorHAnsi" w:hAnsiTheme="minorHAnsi" w:cstheme="minorHAnsi"/>
                <w:sz w:val="20"/>
                <w:szCs w:val="20"/>
                <w:lang w:val="es-EC"/>
              </w:rPr>
            </w:pPr>
            <w:r>
              <w:rPr>
                <w:rFonts w:asciiTheme="minorHAnsi" w:hAnsiTheme="minorHAnsi" w:cstheme="minorHAnsi"/>
                <w:b/>
                <w:sz w:val="20"/>
                <w:szCs w:val="20"/>
                <w:lang w:val="es-EC"/>
              </w:rPr>
              <w:t xml:space="preserve"> Ciudad:</w:t>
            </w:r>
            <w:r>
              <w:rPr>
                <w:rFonts w:asciiTheme="minorHAnsi" w:hAnsiTheme="minorHAnsi" w:cstheme="minorHAnsi"/>
                <w:sz w:val="20"/>
                <w:szCs w:val="20"/>
                <w:lang w:val="es-EC"/>
              </w:rPr>
              <w:t xml:space="preserve"> Quito </w:t>
            </w:r>
          </w:p>
          <w:p>
            <w:pPr>
              <w:spacing w:before="120" w:after="120"/>
              <w:jc w:val="both"/>
              <w:rPr>
                <w:rFonts w:asciiTheme="minorHAnsi" w:hAnsiTheme="minorHAnsi" w:cstheme="minorHAnsi"/>
                <w:sz w:val="20"/>
                <w:szCs w:val="20"/>
                <w:lang w:val="es-EC"/>
              </w:rPr>
            </w:pPr>
            <w:r>
              <w:rPr>
                <w:rFonts w:asciiTheme="minorHAnsi" w:hAnsiTheme="minorHAnsi" w:cstheme="minorHAnsi"/>
                <w:b/>
                <w:sz w:val="20"/>
                <w:szCs w:val="20"/>
                <w:lang w:val="es-EC"/>
              </w:rPr>
              <w:t xml:space="preserve">País: </w:t>
            </w:r>
            <w:r>
              <w:rPr>
                <w:rFonts w:asciiTheme="minorHAnsi" w:hAnsiTheme="minorHAnsi" w:cstheme="minorHAnsi"/>
                <w:sz w:val="20"/>
                <w:szCs w:val="20"/>
                <w:lang w:val="es-EC"/>
              </w:rPr>
              <w:t xml:space="preserve">Ecuador </w:t>
            </w:r>
          </w:p>
          <w:p>
            <w:pPr>
              <w:spacing w:before="120" w:after="120"/>
              <w:jc w:val="both"/>
              <w:rPr>
                <w:rFonts w:asciiTheme="minorHAnsi" w:hAnsiTheme="minorHAnsi" w:cstheme="minorHAnsi"/>
                <w:b/>
                <w:sz w:val="20"/>
                <w:szCs w:val="20"/>
                <w:lang w:val="es-EC"/>
              </w:rPr>
            </w:pPr>
            <w:r>
              <w:rPr>
                <w:rFonts w:asciiTheme="minorHAnsi" w:hAnsiTheme="minorHAnsi" w:cstheme="minorHAnsi"/>
                <w:b/>
                <w:sz w:val="20"/>
                <w:szCs w:val="20"/>
                <w:lang w:val="es-EC"/>
              </w:rPr>
              <w:t>Fecha: La misma de presentación de ofertas</w:t>
            </w:r>
          </w:p>
          <w:p>
            <w:pPr>
              <w:spacing w:before="120" w:after="120"/>
              <w:jc w:val="both"/>
              <w:rPr>
                <w:rFonts w:asciiTheme="minorHAnsi" w:hAnsiTheme="minorHAnsi" w:cstheme="minorHAnsi"/>
                <w:b/>
                <w:sz w:val="20"/>
                <w:szCs w:val="20"/>
                <w:lang w:val="es-EC"/>
              </w:rPr>
            </w:pPr>
            <w:r>
              <w:rPr>
                <w:rFonts w:asciiTheme="minorHAnsi" w:hAnsiTheme="minorHAnsi" w:cstheme="minorHAnsi"/>
                <w:b/>
                <w:sz w:val="20"/>
                <w:szCs w:val="20"/>
                <w:lang w:val="es-EC"/>
              </w:rPr>
              <w:t>Hora: 11:00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27.1</w:t>
            </w:r>
          </w:p>
        </w:tc>
        <w:tc>
          <w:tcPr>
            <w:tcW w:w="8334" w:type="dxa"/>
          </w:tcPr>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se permite la presentación electrónica de ofertas de conformidad con la cláusula 3.1 de las IAO, los procedimientos específicos para la apertura de dichas ofertas será: </w:t>
            </w:r>
            <w:r>
              <w:rPr>
                <w:rFonts w:asciiTheme="minorHAnsi" w:hAnsiTheme="minorHAnsi" w:cstheme="minorHAnsi"/>
                <w:b/>
                <w:sz w:val="20"/>
                <w:szCs w:val="20"/>
                <w:lang w:val="es-EC"/>
              </w:rPr>
              <w:t>NO APLICA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p>
        </w:tc>
        <w:tc>
          <w:tcPr>
            <w:tcW w:w="8334" w:type="dxa"/>
          </w:tcPr>
          <w:p>
            <w:pPr>
              <w:spacing w:before="60" w:after="60" w:line="240" w:lineRule="auto"/>
              <w:jc w:val="center"/>
              <w:rPr>
                <w:rFonts w:eastAsia="Times New Roman" w:asciiTheme="minorHAnsi" w:hAnsiTheme="minorHAnsi" w:cstheme="minorHAnsi"/>
                <w:b/>
                <w:bCs/>
                <w:sz w:val="20"/>
                <w:szCs w:val="20"/>
                <w:lang w:val="es-EC"/>
              </w:rPr>
            </w:pPr>
            <w:bookmarkStart w:id="289" w:name="_Toc505659533"/>
            <w:bookmarkStart w:id="290" w:name="_Toc506185681"/>
            <w:r>
              <w:rPr>
                <w:rFonts w:eastAsia="Times New Roman" w:asciiTheme="minorHAnsi" w:hAnsiTheme="minorHAnsi" w:cstheme="minorHAnsi"/>
                <w:b/>
                <w:bCs/>
                <w:sz w:val="20"/>
                <w:szCs w:val="20"/>
                <w:lang w:val="es-EC"/>
              </w:rPr>
              <w:t xml:space="preserve">E. Evaluación y Comparación de las Ofertas </w:t>
            </w:r>
            <w:bookmarkEnd w:id="289"/>
            <w:bookmarkEnd w:id="290"/>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34.1</w:t>
            </w:r>
          </w:p>
        </w:tc>
        <w:tc>
          <w:tcPr>
            <w:tcW w:w="8334" w:type="dxa"/>
          </w:tcPr>
          <w:p>
            <w:pPr>
              <w:keepNext/>
              <w:keepLines/>
              <w:spacing w:before="120" w:after="120"/>
              <w:jc w:val="both"/>
              <w:rPr>
                <w:rFonts w:asciiTheme="minorHAnsi" w:hAnsiTheme="minorHAnsi" w:cstheme="minorHAnsi"/>
                <w:i/>
                <w:sz w:val="20"/>
                <w:szCs w:val="20"/>
                <w:lang w:val="es-EC"/>
              </w:rPr>
            </w:pPr>
            <w:r>
              <w:rPr>
                <w:rFonts w:asciiTheme="minorHAnsi" w:hAnsiTheme="minorHAnsi" w:cstheme="minorHAnsi"/>
                <w:sz w:val="20"/>
                <w:szCs w:val="20"/>
                <w:lang w:val="es-EC"/>
              </w:rPr>
              <w:t xml:space="preserve">Los precios de las ofertas expresados en diferentes monedas se convertirán a: </w:t>
            </w:r>
            <w:r>
              <w:rPr>
                <w:rFonts w:asciiTheme="minorHAnsi" w:hAnsiTheme="minorHAnsi" w:cstheme="minorHAnsi"/>
                <w:i/>
                <w:sz w:val="20"/>
                <w:szCs w:val="20"/>
                <w:lang w:val="es-EC"/>
              </w:rPr>
              <w:t>No aplica</w:t>
            </w:r>
          </w:p>
          <w:p>
            <w:pPr>
              <w:keepNext/>
              <w:keepLines/>
              <w:spacing w:after="0" w:line="240" w:lineRule="auto"/>
              <w:rPr>
                <w:rFonts w:asciiTheme="minorHAnsi" w:hAnsiTheme="minorHAnsi" w:cstheme="minorHAnsi"/>
                <w:sz w:val="20"/>
                <w:szCs w:val="20"/>
                <w:lang w:val="es-EC"/>
              </w:rPr>
            </w:pPr>
            <w:r>
              <w:rPr>
                <w:rFonts w:asciiTheme="minorHAnsi" w:hAnsiTheme="minorHAnsi" w:cstheme="minorHAnsi"/>
                <w:sz w:val="20"/>
                <w:szCs w:val="20"/>
                <w:lang w:val="es-EC"/>
              </w:rPr>
              <w:t>La fuente del tipo de cambio será: No aplica</w:t>
            </w:r>
          </w:p>
          <w:p>
            <w:pPr>
              <w:keepNext/>
              <w:keepLines/>
              <w:spacing w:after="0" w:line="240" w:lineRule="auto"/>
              <w:rPr>
                <w:rFonts w:asciiTheme="minorHAnsi" w:hAnsiTheme="minorHAnsi" w:cstheme="minorHAnsi"/>
                <w:sz w:val="20"/>
                <w:szCs w:val="20"/>
                <w:lang w:val="es-EC"/>
              </w:rPr>
            </w:pPr>
          </w:p>
          <w:p>
            <w:pPr>
              <w:keepNext/>
              <w:keepLines/>
              <w:spacing w:after="0" w:line="240" w:lineRule="auto"/>
              <w:rPr>
                <w:rFonts w:asciiTheme="minorHAnsi" w:hAnsiTheme="minorHAnsi" w:cstheme="minorHAnsi"/>
                <w:sz w:val="20"/>
                <w:szCs w:val="20"/>
                <w:lang w:val="es-EC"/>
              </w:rPr>
            </w:pPr>
            <w:r>
              <w:rPr>
                <w:rFonts w:asciiTheme="minorHAnsi" w:hAnsiTheme="minorHAnsi" w:cstheme="minorHAnsi"/>
                <w:sz w:val="20"/>
                <w:szCs w:val="20"/>
                <w:lang w:val="es-EC"/>
              </w:rPr>
              <w:t>La fecha a la cual corresponderá el tipo de cambio será: No aplica</w:t>
            </w:r>
          </w:p>
          <w:p>
            <w:pPr>
              <w:keepNext/>
              <w:keepLines/>
              <w:spacing w:after="0" w:line="240" w:lineRule="auto"/>
              <w:jc w:val="both"/>
              <w:rPr>
                <w:rFonts w:asciiTheme="minorHAnsi" w:hAnsiTheme="minorHAnsi" w:cstheme="minorHAnsi"/>
                <w:sz w:val="20"/>
                <w:szCs w:val="20"/>
                <w:lang w:val="es-EC"/>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35.1</w:t>
            </w:r>
          </w:p>
        </w:tc>
        <w:tc>
          <w:tcPr>
            <w:tcW w:w="8334" w:type="dxa"/>
          </w:tcPr>
          <w:p>
            <w:pPr>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La Preferencia Nacional no será un factor de evaluación de la oferta.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36.3(a)</w:t>
            </w:r>
          </w:p>
        </w:tc>
        <w:tc>
          <w:tcPr>
            <w:tcW w:w="8334" w:type="dxa"/>
          </w:tcPr>
          <w:p>
            <w:pPr>
              <w:widowControl w:val="0"/>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 evaluación se hará por lotes. </w:t>
            </w:r>
          </w:p>
          <w:p>
            <w:pPr>
              <w:widowControl w:val="0"/>
              <w:spacing w:after="0" w:line="240" w:lineRule="auto"/>
              <w:jc w:val="both"/>
              <w:rPr>
                <w:rFonts w:asciiTheme="minorHAnsi" w:hAnsiTheme="minorHAnsi" w:cstheme="minorHAnsi"/>
                <w:sz w:val="20"/>
                <w:szCs w:val="20"/>
                <w:lang w:val="es-EC"/>
              </w:rPr>
            </w:pPr>
          </w:p>
          <w:p>
            <w:pPr>
              <w:widowControl w:val="0"/>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Las ofertas serán evaluadas por lotes. Si la Lista de Precios no incluye los precios de los artículos listados, se asumirá que éstos están incluidos en los precios de otros artículos. Si algún artículo no se incluye en la Lista de Precios, se asumirá que éste no ha sido incluido en la oferta. En este caso, si la oferta cumple sustancialmente con los requisitos, se calculará un costo total equivalente de la oferta agregándole el precio promedio del artículo cotizado por las demás ofertas que cumplen sustancialmente con los requisitos. Éste costo total equivalente será utilizado para la comparación de precios.</w:t>
            </w:r>
          </w:p>
          <w:p>
            <w:pPr>
              <w:widowControl w:val="0"/>
              <w:spacing w:after="0" w:line="240" w:lineRule="auto"/>
              <w:jc w:val="both"/>
              <w:rPr>
                <w:rFonts w:asciiTheme="minorHAnsi" w:hAnsiTheme="minorHAnsi" w:cstheme="minorHAnsi"/>
                <w:sz w:val="20"/>
                <w:szCs w:val="20"/>
                <w:lang w:val="es-EC"/>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36.3(d)</w:t>
            </w:r>
          </w:p>
        </w:tc>
        <w:tc>
          <w:tcPr>
            <w:tcW w:w="8334" w:type="dxa"/>
          </w:tcPr>
          <w:p>
            <w:pPr>
              <w:spacing w:after="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Los ajustes se determinarán utilizando los siguientes factores, metodologías y criterios de entre los enumerados en la Sección III, Criterios de Evaluación y Calificación: </w:t>
            </w:r>
          </w:p>
          <w:p>
            <w:pPr>
              <w:spacing w:after="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(a) Desviación en el plan de entregas: NO APLICA </w:t>
            </w:r>
          </w:p>
          <w:p>
            <w:pPr>
              <w:spacing w:after="0" w:line="240" w:lineRule="auto"/>
              <w:rPr>
                <w:rFonts w:asciiTheme="minorHAnsi" w:hAnsiTheme="minorHAnsi" w:cstheme="minorHAnsi"/>
                <w:sz w:val="20"/>
                <w:szCs w:val="20"/>
                <w:lang w:val="es-EC"/>
              </w:rPr>
            </w:pPr>
            <w:r>
              <w:rPr>
                <w:rFonts w:asciiTheme="minorHAnsi" w:hAnsiTheme="minorHAnsi" w:cstheme="minorHAnsi"/>
                <w:sz w:val="20"/>
                <w:szCs w:val="20"/>
                <w:lang w:val="es-EC"/>
              </w:rPr>
              <w:t>(b) Desviación el plan de pagos: NO APLICA</w:t>
            </w:r>
            <w:r>
              <w:rPr>
                <w:rFonts w:asciiTheme="minorHAnsi" w:hAnsiTheme="minorHAnsi" w:cstheme="minorHAnsi"/>
                <w:sz w:val="20"/>
                <w:szCs w:val="20"/>
                <w:lang w:val="es-EC"/>
              </w:rPr>
              <w:br w:type="textWrapping"/>
            </w:r>
            <w:r>
              <w:rPr>
                <w:rFonts w:asciiTheme="minorHAnsi" w:hAnsiTheme="minorHAnsi" w:cstheme="minorHAnsi"/>
                <w:sz w:val="20"/>
                <w:szCs w:val="20"/>
                <w:lang w:val="es-EC"/>
              </w:rPr>
              <w:t xml:space="preserve">(c) El costo de reemplazo de componentes importantes, repuestos obligatorios y servicio: NO APLICA </w:t>
            </w:r>
          </w:p>
          <w:p>
            <w:pPr>
              <w:spacing w:after="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(d) Disponibilidad de repuestos y servicios posteriores a la venta para el equipo ofrecido en la oferta: NO APLICA </w:t>
            </w:r>
          </w:p>
          <w:p>
            <w:pPr>
              <w:spacing w:after="0" w:line="240" w:lineRule="auto"/>
              <w:rPr>
                <w:rFonts w:asciiTheme="minorHAnsi" w:hAnsiTheme="minorHAnsi" w:cstheme="minorHAnsi"/>
                <w:sz w:val="20"/>
                <w:szCs w:val="20"/>
                <w:lang w:val="es-EC"/>
              </w:rPr>
            </w:pPr>
            <w:r>
              <w:rPr>
                <w:rFonts w:asciiTheme="minorHAnsi" w:hAnsiTheme="minorHAnsi" w:cstheme="minorHAnsi"/>
                <w:sz w:val="20"/>
                <w:szCs w:val="20"/>
                <w:lang w:val="es-EC"/>
              </w:rPr>
              <w:t>(e) Los costos estimados de operación y mantenimiento durante la vida del equipo NO APLICA</w:t>
            </w:r>
            <w:r>
              <w:rPr>
                <w:rFonts w:asciiTheme="minorHAnsi" w:hAnsiTheme="minorHAnsi" w:cstheme="minorHAnsi"/>
                <w:sz w:val="20"/>
                <w:szCs w:val="20"/>
                <w:lang w:val="es-EC"/>
              </w:rPr>
              <w:br w:type="textWrapping"/>
            </w:r>
            <w:r>
              <w:rPr>
                <w:rFonts w:asciiTheme="minorHAnsi" w:hAnsiTheme="minorHAnsi" w:cstheme="minorHAnsi"/>
                <w:sz w:val="20"/>
                <w:szCs w:val="20"/>
                <w:lang w:val="es-EC"/>
              </w:rPr>
              <w:t>(f) El rendimiento y productividad del equipo ofrecido: NO APLICA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36.6</w:t>
            </w:r>
          </w:p>
        </w:tc>
        <w:tc>
          <w:tcPr>
            <w:tcW w:w="8334" w:type="dxa"/>
          </w:tcPr>
          <w:p>
            <w:pPr>
              <w:spacing w:before="120" w:after="120"/>
              <w:jc w:val="both"/>
              <w:rPr>
                <w:rFonts w:asciiTheme="minorHAnsi" w:hAnsiTheme="minorHAnsi" w:cstheme="minorHAnsi"/>
                <w:i/>
                <w:sz w:val="20"/>
                <w:szCs w:val="20"/>
                <w:lang w:val="es-EC"/>
              </w:rPr>
            </w:pPr>
            <w:r>
              <w:rPr>
                <w:rFonts w:asciiTheme="minorHAnsi" w:hAnsiTheme="minorHAnsi" w:cstheme="minorHAnsi"/>
                <w:sz w:val="20"/>
                <w:szCs w:val="20"/>
                <w:lang w:val="es-EC"/>
              </w:rPr>
              <w:t>Los Oferentes podrán cotizar precios separados por uno o más lotes</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p>
        </w:tc>
        <w:tc>
          <w:tcPr>
            <w:tcW w:w="8334" w:type="dxa"/>
          </w:tcPr>
          <w:p>
            <w:pPr>
              <w:spacing w:before="60" w:after="60" w:line="240" w:lineRule="auto"/>
              <w:jc w:val="center"/>
              <w:rPr>
                <w:rFonts w:eastAsia="Times New Roman" w:asciiTheme="minorHAnsi" w:hAnsiTheme="minorHAnsi" w:cstheme="minorHAnsi"/>
                <w:b/>
                <w:bCs/>
                <w:sz w:val="20"/>
                <w:szCs w:val="20"/>
                <w:lang w:val="es-EC"/>
              </w:rPr>
            </w:pPr>
            <w:bookmarkStart w:id="291" w:name="_Toc505659534"/>
            <w:bookmarkStart w:id="292" w:name="_Toc506185682"/>
            <w:r>
              <w:rPr>
                <w:rFonts w:eastAsia="Times New Roman" w:asciiTheme="minorHAnsi" w:hAnsiTheme="minorHAnsi" w:cstheme="minorHAnsi"/>
                <w:b/>
                <w:bCs/>
                <w:sz w:val="20"/>
                <w:szCs w:val="20"/>
                <w:lang w:val="es-EC"/>
              </w:rPr>
              <w:t xml:space="preserve">F. Adjudicación del Contrato </w:t>
            </w:r>
            <w:bookmarkEnd w:id="291"/>
            <w:bookmarkEnd w:id="292"/>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6" w:space="0"/>
          </w:tblBorders>
          <w:tblLayout w:type="fixed"/>
          <w:tblCellMar>
            <w:top w:w="0" w:type="dxa"/>
            <w:left w:w="103" w:type="dxa"/>
            <w:bottom w:w="0" w:type="dxa"/>
            <w:right w:w="103" w:type="dxa"/>
          </w:tblCellMar>
        </w:tblPrEx>
        <w:trPr>
          <w:trHeight w:val="20" w:hRule="atLeast"/>
        </w:trPr>
        <w:tc>
          <w:tcPr>
            <w:tcW w:w="1134" w:type="dxa"/>
          </w:tcPr>
          <w:p>
            <w:pPr>
              <w:spacing w:before="60" w:after="60" w:line="240" w:lineRule="auto"/>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IAO 41.1</w:t>
            </w:r>
          </w:p>
        </w:tc>
        <w:tc>
          <w:tcPr>
            <w:tcW w:w="8334" w:type="dxa"/>
          </w:tcPr>
          <w:p>
            <w:pPr>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máximo porcentaje en que las cantidades podrán ser aumentadas es: </w:t>
            </w:r>
            <w:r>
              <w:rPr>
                <w:rFonts w:asciiTheme="minorHAnsi" w:hAnsiTheme="minorHAnsi" w:cstheme="minorHAnsi"/>
                <w:b/>
                <w:sz w:val="20"/>
                <w:szCs w:val="20"/>
                <w:lang w:val="es-EC"/>
              </w:rPr>
              <w:t>20%por cada lote.</w:t>
            </w:r>
          </w:p>
          <w:p>
            <w:pPr>
              <w:tabs>
                <w:tab w:val="right" w:pos="725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El máximo porcentaje en que las cantidades podrán ser disminuidas es: </w:t>
            </w:r>
            <w:r>
              <w:rPr>
                <w:rFonts w:asciiTheme="minorHAnsi" w:hAnsiTheme="minorHAnsi" w:cstheme="minorHAnsi"/>
                <w:b/>
                <w:sz w:val="20"/>
                <w:szCs w:val="20"/>
                <w:lang w:val="es-EC"/>
              </w:rPr>
              <w:t>20% por cada lote.</w:t>
            </w:r>
          </w:p>
        </w:tc>
      </w:tr>
    </w:tbl>
    <w:p>
      <w:pPr>
        <w:rPr>
          <w:rFonts w:asciiTheme="minorHAnsi" w:hAnsiTheme="minorHAnsi" w:cstheme="minorHAnsi"/>
          <w:b/>
          <w:sz w:val="20"/>
          <w:szCs w:val="20"/>
          <w:lang w:val="es-EC"/>
        </w:rPr>
      </w:pPr>
    </w:p>
    <w:p>
      <w:pPr>
        <w:rPr>
          <w:rFonts w:asciiTheme="minorHAnsi" w:hAnsiTheme="minorHAnsi" w:cstheme="minorHAnsi"/>
          <w:b/>
          <w:sz w:val="20"/>
          <w:szCs w:val="20"/>
          <w:lang w:val="es-EC"/>
        </w:rPr>
        <w:sectPr>
          <w:headerReference r:id="rId9" w:type="default"/>
          <w:pgSz w:w="12240" w:h="15840"/>
          <w:pgMar w:top="1440" w:right="1440" w:bottom="1440" w:left="1440" w:header="720" w:footer="720" w:gutter="0"/>
          <w:cols w:space="720" w:num="1"/>
          <w:docGrid w:linePitch="360" w:charSpace="0"/>
        </w:sectPr>
      </w:pPr>
    </w:p>
    <w:p>
      <w:pPr>
        <w:pStyle w:val="3"/>
        <w:jc w:val="center"/>
        <w:rPr>
          <w:rFonts w:asciiTheme="minorHAnsi" w:hAnsiTheme="minorHAnsi" w:cstheme="minorHAnsi"/>
          <w:color w:val="auto"/>
          <w:sz w:val="20"/>
          <w:szCs w:val="20"/>
          <w:lang w:val="es-EC"/>
        </w:rPr>
      </w:pPr>
      <w:bookmarkStart w:id="293" w:name="_Toc478103465"/>
      <w:r>
        <w:rPr>
          <w:rFonts w:asciiTheme="minorHAnsi" w:hAnsiTheme="minorHAnsi" w:cstheme="minorHAnsi"/>
          <w:color w:val="auto"/>
          <w:sz w:val="20"/>
          <w:szCs w:val="20"/>
          <w:lang w:val="es-EC"/>
        </w:rPr>
        <w:t>Sección III. Criterios de Evaluación y Calificación</w:t>
      </w:r>
      <w:bookmarkEnd w:id="293"/>
    </w:p>
    <w:p>
      <w:pPr>
        <w:pStyle w:val="36"/>
        <w:jc w:val="both"/>
        <w:rPr>
          <w:rFonts w:asciiTheme="minorHAnsi" w:hAnsiTheme="minorHAnsi" w:cstheme="minorHAnsi"/>
          <w:i/>
          <w:sz w:val="20"/>
          <w:szCs w:val="20"/>
          <w:lang w:val="es-EC"/>
        </w:rPr>
      </w:pPr>
    </w:p>
    <w:p>
      <w:pPr>
        <w:keepNext/>
        <w:keepLines/>
        <w:numPr>
          <w:ilvl w:val="0"/>
          <w:numId w:val="75"/>
        </w:numPr>
        <w:spacing w:before="240" w:after="0" w:line="240" w:lineRule="auto"/>
        <w:outlineLvl w:val="1"/>
        <w:rPr>
          <w:rFonts w:eastAsia="Times New Roman" w:asciiTheme="minorHAnsi" w:hAnsiTheme="minorHAnsi" w:cstheme="minorHAnsi"/>
          <w:b/>
          <w:bCs/>
          <w:sz w:val="24"/>
          <w:szCs w:val="24"/>
          <w:lang w:val="es-EC"/>
        </w:rPr>
      </w:pPr>
      <w:bookmarkStart w:id="294" w:name="_Toc478103466"/>
      <w:r>
        <w:rPr>
          <w:rFonts w:eastAsia="Times New Roman" w:asciiTheme="minorHAnsi" w:hAnsiTheme="minorHAnsi" w:cstheme="minorHAnsi"/>
          <w:b/>
          <w:bCs/>
          <w:sz w:val="20"/>
          <w:szCs w:val="20"/>
          <w:lang w:val="es-EC"/>
        </w:rPr>
        <w:t xml:space="preserve">Preferencia Nacional - </w:t>
      </w:r>
      <w:r>
        <w:rPr>
          <w:rFonts w:asciiTheme="minorHAnsi" w:hAnsiTheme="minorHAnsi" w:cstheme="minorHAnsi"/>
          <w:b/>
          <w:color w:val="2E74B5"/>
          <w:sz w:val="24"/>
          <w:szCs w:val="24"/>
          <w:lang w:val="es-EC"/>
        </w:rPr>
        <w:t>NO APLICA</w:t>
      </w:r>
      <w:bookmarkEnd w:id="294"/>
    </w:p>
    <w:p>
      <w:pPr>
        <w:suppressAutoHyphens/>
        <w:ind w:left="720" w:right="-72"/>
        <w:jc w:val="both"/>
        <w:rPr>
          <w:rFonts w:asciiTheme="minorHAnsi" w:hAnsiTheme="minorHAnsi" w:cstheme="minorHAnsi"/>
          <w:sz w:val="20"/>
          <w:szCs w:val="20"/>
          <w:lang w:val="es-EC"/>
        </w:rPr>
      </w:pPr>
      <w:r>
        <w:rPr>
          <w:rFonts w:asciiTheme="minorHAnsi" w:hAnsiTheme="minorHAnsi" w:cstheme="minorHAnsi"/>
          <w:sz w:val="20"/>
          <w:szCs w:val="20"/>
          <w:lang w:val="es-EC"/>
        </w:rPr>
        <w:t>IAO 35.1</w:t>
      </w:r>
    </w:p>
    <w:p>
      <w:pPr>
        <w:suppressAutoHyphens/>
        <w:ind w:left="720" w:right="-72"/>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se especifica en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que la Preferencia Nacional será un factor de evaluación, se aplicará lo siguiente:</w:t>
      </w:r>
    </w:p>
    <w:p>
      <w:pPr>
        <w:numPr>
          <w:ilvl w:val="0"/>
          <w:numId w:val="7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iCs/>
          <w:sz w:val="20"/>
          <w:szCs w:val="20"/>
          <w:lang w:val="es-EC"/>
        </w:rPr>
        <w:t>Al comparar ofertas nacionales con ofertas extranjeras el Prestatario podrá, con la aprobación del Banco, conceder en la evaluación de las ofertas obtenidas mediante LPI un margen de preferencia para las ofertas que contengan ciertos bienes de origen en el país del Prestatario. A los efectos de la evaluación y comparación de las ofertas se deben seguir los métodos y etapas que se especifican a continuación</w:t>
      </w:r>
      <w:r>
        <w:rPr>
          <w:rFonts w:asciiTheme="minorHAnsi" w:hAnsiTheme="minorHAnsi" w:cstheme="minorHAnsi"/>
          <w:sz w:val="20"/>
          <w:szCs w:val="20"/>
          <w:lang w:val="es-EC"/>
        </w:rPr>
        <w:t>.</w:t>
      </w:r>
    </w:p>
    <w:p>
      <w:pPr>
        <w:numPr>
          <w:ilvl w:val="0"/>
          <w:numId w:val="76"/>
        </w:numPr>
        <w:spacing w:before="60" w:after="60" w:line="240" w:lineRule="auto"/>
        <w:ind w:left="1267" w:hanging="720"/>
        <w:jc w:val="both"/>
        <w:rPr>
          <w:rFonts w:asciiTheme="minorHAnsi" w:hAnsiTheme="minorHAnsi" w:cstheme="minorHAnsi"/>
          <w:iCs/>
          <w:sz w:val="20"/>
          <w:szCs w:val="20"/>
          <w:lang w:val="es-EC"/>
        </w:rPr>
      </w:pPr>
      <w:r>
        <w:rPr>
          <w:rFonts w:asciiTheme="minorHAnsi" w:hAnsiTheme="minorHAnsi" w:cstheme="minorHAnsi"/>
          <w:iCs/>
          <w:sz w:val="20"/>
          <w:szCs w:val="20"/>
          <w:lang w:val="es-EC"/>
        </w:rPr>
        <w:t xml:space="preserve">Para la comparación, las ofertas que reúnan </w:t>
      </w:r>
      <w:r>
        <w:rPr>
          <w:rFonts w:asciiTheme="minorHAnsi" w:hAnsiTheme="minorHAnsi" w:cstheme="minorHAnsi"/>
          <w:sz w:val="20"/>
          <w:szCs w:val="20"/>
          <w:lang w:val="es-EC"/>
        </w:rPr>
        <w:t xml:space="preserve">los </w:t>
      </w:r>
      <w:r>
        <w:rPr>
          <w:rFonts w:asciiTheme="minorHAnsi" w:hAnsiTheme="minorHAnsi" w:cstheme="minorHAnsi"/>
          <w:iCs/>
          <w:sz w:val="20"/>
          <w:szCs w:val="20"/>
          <w:lang w:val="es-EC"/>
        </w:rPr>
        <w:t>requisitos se clasificarán en uno de los tres grupos siguientes</w:t>
      </w:r>
      <w:r>
        <w:rPr>
          <w:rStyle w:val="43"/>
          <w:rFonts w:asciiTheme="minorHAnsi" w:hAnsiTheme="minorHAnsi" w:cstheme="minorHAnsi"/>
          <w:iCs/>
          <w:sz w:val="20"/>
          <w:szCs w:val="20"/>
          <w:lang w:val="es-EC"/>
        </w:rPr>
        <w:footnoteReference w:id="2"/>
      </w:r>
      <w:r>
        <w:rPr>
          <w:rFonts w:asciiTheme="minorHAnsi" w:hAnsiTheme="minorHAnsi" w:cstheme="minorHAnsi"/>
          <w:sz w:val="20"/>
          <w:szCs w:val="20"/>
          <w:lang w:val="es-EC"/>
        </w:rPr>
        <w:t>:</w:t>
      </w:r>
    </w:p>
    <w:p>
      <w:pPr>
        <w:numPr>
          <w:ilvl w:val="0"/>
          <w:numId w:val="77"/>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b/>
          <w:sz w:val="20"/>
          <w:szCs w:val="20"/>
          <w:lang w:val="es-EC"/>
        </w:rPr>
        <w:t xml:space="preserve">Grupo A: </w:t>
      </w:r>
      <w:r>
        <w:rPr>
          <w:rFonts w:asciiTheme="minorHAnsi" w:hAnsiTheme="minorHAnsi" w:cstheme="minorHAnsi"/>
          <w:sz w:val="20"/>
          <w:szCs w:val="20"/>
          <w:lang w:val="es-EC"/>
        </w:rPr>
        <w:t>ofertas de bienes de origen en el país del Prestatario, si el oferente demuestra a satisfacción del Prestatario y del Banco que: i) la mano de obra, las materias primas y los componentes provenientes del país del Prestatario representarán más del 30% del precio del producto ofrecido; y ii) la fábrica en que se producirán o armarán tales bienes ha estado produciendo o armando productos de ese tipo por lo menos desde la época en que el oferente presentó su oferta</w:t>
      </w:r>
      <w:r>
        <w:rPr>
          <w:rFonts w:eastAsia="Times New Roman" w:asciiTheme="minorHAnsi" w:hAnsiTheme="minorHAnsi" w:cstheme="minorHAnsi"/>
          <w:sz w:val="20"/>
          <w:szCs w:val="20"/>
          <w:lang w:val="es-EC"/>
        </w:rPr>
        <w:t>.</w:t>
      </w:r>
    </w:p>
    <w:p>
      <w:pPr>
        <w:numPr>
          <w:ilvl w:val="0"/>
          <w:numId w:val="77"/>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b/>
          <w:bCs/>
          <w:sz w:val="20"/>
          <w:szCs w:val="20"/>
          <w:lang w:val="es-EC"/>
        </w:rPr>
        <w:t xml:space="preserve">Grupo B: </w:t>
      </w:r>
      <w:r>
        <w:rPr>
          <w:rFonts w:asciiTheme="minorHAnsi" w:hAnsiTheme="minorHAnsi" w:cstheme="minorHAnsi"/>
          <w:sz w:val="20"/>
          <w:szCs w:val="20"/>
          <w:lang w:val="es-EC"/>
        </w:rPr>
        <w:t>todas las demás ofertas de bienes de origen en el país del Prestatario.</w:t>
      </w:r>
    </w:p>
    <w:p>
      <w:pPr>
        <w:numPr>
          <w:ilvl w:val="0"/>
          <w:numId w:val="77"/>
        </w:numPr>
        <w:spacing w:before="60" w:after="60" w:line="240" w:lineRule="auto"/>
        <w:ind w:left="1620"/>
        <w:jc w:val="both"/>
        <w:rPr>
          <w:rFonts w:eastAsia="Times New Roman" w:asciiTheme="minorHAnsi" w:hAnsiTheme="minorHAnsi" w:cstheme="minorHAnsi"/>
          <w:sz w:val="20"/>
          <w:szCs w:val="20"/>
          <w:lang w:val="es-EC"/>
        </w:rPr>
      </w:pPr>
      <w:r>
        <w:rPr>
          <w:rFonts w:asciiTheme="minorHAnsi" w:hAnsiTheme="minorHAnsi" w:cstheme="minorHAnsi"/>
          <w:b/>
          <w:bCs/>
          <w:sz w:val="20"/>
          <w:szCs w:val="20"/>
          <w:lang w:val="es-EC"/>
        </w:rPr>
        <w:t>Grupo C</w:t>
      </w:r>
      <w:r>
        <w:rPr>
          <w:rFonts w:asciiTheme="minorHAnsi" w:hAnsiTheme="minorHAnsi" w:cstheme="minorHAnsi"/>
          <w:sz w:val="20"/>
          <w:szCs w:val="20"/>
          <w:lang w:val="es-EC"/>
        </w:rPr>
        <w:t>: ofertas de bienes de origen en el extranjero, que ya han sido importados o que se importarán directamente</w:t>
      </w:r>
      <w:r>
        <w:rPr>
          <w:rFonts w:eastAsia="Times New Roman" w:asciiTheme="minorHAnsi" w:hAnsiTheme="minorHAnsi" w:cstheme="minorHAnsi"/>
          <w:sz w:val="20"/>
          <w:szCs w:val="20"/>
          <w:lang w:val="es-EC"/>
        </w:rPr>
        <w:t>.</w:t>
      </w:r>
    </w:p>
    <w:p>
      <w:pPr>
        <w:numPr>
          <w:ilvl w:val="0"/>
          <w:numId w:val="76"/>
        </w:numPr>
        <w:spacing w:before="60" w:after="60" w:line="240" w:lineRule="auto"/>
        <w:ind w:left="1267" w:hanging="720"/>
        <w:jc w:val="both"/>
        <w:rPr>
          <w:rFonts w:asciiTheme="minorHAnsi" w:hAnsiTheme="minorHAnsi" w:cstheme="minorHAnsi"/>
          <w:sz w:val="20"/>
          <w:szCs w:val="20"/>
          <w:lang w:val="es-EC"/>
        </w:rPr>
      </w:pPr>
      <w:r>
        <w:rPr>
          <w:rFonts w:asciiTheme="minorHAnsi" w:hAnsiTheme="minorHAnsi" w:cstheme="minorHAnsi"/>
          <w:iCs/>
          <w:sz w:val="20"/>
          <w:szCs w:val="20"/>
          <w:lang w:val="es-EC"/>
        </w:rPr>
        <w:t>El precio cotizado por los oferentes del Grupo A y B debe incluir todos los derechos e impuestos pagados o pagaderos por los materiales o componentes comprados en el mercado nacional o importados pero deben excluir el impuesto sobre las ventas y otros impuestos semejantes que se apliquen al producto terminado. Los precios cotizados por los oferentes del Grupo C deben excluir los derechos de aduana y otros impuestos de importación ya pagados o por pagarse</w:t>
      </w:r>
      <w:r>
        <w:rPr>
          <w:rFonts w:asciiTheme="minorHAnsi" w:hAnsiTheme="minorHAnsi" w:cstheme="minorHAnsi"/>
          <w:sz w:val="20"/>
          <w:szCs w:val="20"/>
          <w:lang w:val="es-EC"/>
        </w:rPr>
        <w:t>.</w:t>
      </w:r>
    </w:p>
    <w:p>
      <w:pPr>
        <w:numPr>
          <w:ilvl w:val="0"/>
          <w:numId w:val="76"/>
        </w:numPr>
        <w:spacing w:before="60" w:after="60" w:line="240" w:lineRule="auto"/>
        <w:ind w:left="1267" w:hanging="720"/>
        <w:jc w:val="both"/>
        <w:rPr>
          <w:rFonts w:asciiTheme="minorHAnsi" w:hAnsiTheme="minorHAnsi" w:cstheme="minorHAnsi"/>
          <w:iCs/>
          <w:sz w:val="20"/>
          <w:szCs w:val="20"/>
          <w:lang w:val="es-EC"/>
        </w:rPr>
      </w:pPr>
      <w:r>
        <w:rPr>
          <w:rFonts w:asciiTheme="minorHAnsi" w:hAnsiTheme="minorHAnsi" w:cstheme="minorHAnsi"/>
          <w:iCs/>
          <w:sz w:val="20"/>
          <w:szCs w:val="20"/>
          <w:lang w:val="es-EC"/>
        </w:rPr>
        <w:t xml:space="preserve">En la primera etapa, todas las ofertas evaluadas en cada grupo deben ser comparadas para determinar la oferta evaluada como la más baja de cada grupo. Luego, las ofertas evaluadas como las más bajas dentro de cada grupo deben ser comparadas entre sí y si, como resultado de esta comparación, una oferta del Grupo A o del Grupo B es la más baja, dicha oferta resulta ser seleccionada para la adjudicación del Contrato. </w:t>
      </w:r>
    </w:p>
    <w:p>
      <w:pPr>
        <w:numPr>
          <w:ilvl w:val="0"/>
          <w:numId w:val="76"/>
        </w:numPr>
        <w:spacing w:before="60" w:after="60" w:line="240" w:lineRule="auto"/>
        <w:ind w:left="1267" w:hanging="720"/>
        <w:jc w:val="both"/>
        <w:rPr>
          <w:rFonts w:asciiTheme="minorHAnsi" w:hAnsiTheme="minorHAnsi" w:cstheme="minorHAnsi"/>
          <w:iCs/>
          <w:sz w:val="20"/>
          <w:szCs w:val="20"/>
          <w:lang w:val="es-EC"/>
        </w:rPr>
      </w:pPr>
      <w:r>
        <w:rPr>
          <w:rFonts w:asciiTheme="minorHAnsi" w:hAnsiTheme="minorHAnsi" w:cstheme="minorHAnsi"/>
          <w:iCs/>
          <w:sz w:val="20"/>
          <w:szCs w:val="20"/>
          <w:lang w:val="es-EC"/>
        </w:rPr>
        <w:t>Si como resultado de la comparación precedente, la oferta evaluada como la más baja es una del Grupo C, a continuación esa oferta deberá ser comparada con la oferta evaluada más baja del Grupo A después de haberle agregado al precio evaluado de la oferta de bienes importados del Grupo C, y solamente para efectos de esta comparación adicional, una suma igual al 15% del precio CIP propuesto. La propuesta evaluada como la más baja en virtud de la comparación efectuada en esta última comparación debe ser seleccionada para adjudicación.</w:t>
      </w:r>
    </w:p>
    <w:p>
      <w:pPr>
        <w:spacing w:before="60" w:after="60" w:line="240" w:lineRule="auto"/>
        <w:jc w:val="both"/>
        <w:rPr>
          <w:rFonts w:asciiTheme="minorHAnsi" w:hAnsiTheme="minorHAnsi" w:cstheme="minorHAnsi"/>
          <w:sz w:val="20"/>
          <w:szCs w:val="20"/>
          <w:lang w:val="es-EC"/>
        </w:rPr>
      </w:pPr>
    </w:p>
    <w:p>
      <w:pPr>
        <w:keepNext/>
        <w:keepLines/>
        <w:numPr>
          <w:ilvl w:val="0"/>
          <w:numId w:val="75"/>
        </w:numPr>
        <w:spacing w:before="240" w:after="0" w:line="240" w:lineRule="auto"/>
        <w:outlineLvl w:val="1"/>
        <w:rPr>
          <w:rFonts w:eastAsia="Times New Roman" w:asciiTheme="minorHAnsi" w:hAnsiTheme="minorHAnsi" w:cstheme="minorHAnsi"/>
          <w:b/>
          <w:bCs/>
          <w:sz w:val="24"/>
          <w:szCs w:val="24"/>
          <w:lang w:val="es-EC"/>
        </w:rPr>
      </w:pPr>
      <w:bookmarkStart w:id="295" w:name="_Toc478103467"/>
      <w:r>
        <w:rPr>
          <w:rFonts w:eastAsia="Times New Roman" w:asciiTheme="minorHAnsi" w:hAnsiTheme="minorHAnsi" w:cstheme="minorHAnsi"/>
          <w:b/>
          <w:bCs/>
          <w:sz w:val="20"/>
          <w:szCs w:val="20"/>
          <w:lang w:val="es-EC"/>
        </w:rPr>
        <w:t xml:space="preserve">Criterios de Evaluación - </w:t>
      </w:r>
      <w:r>
        <w:rPr>
          <w:rFonts w:asciiTheme="minorHAnsi" w:hAnsiTheme="minorHAnsi" w:cstheme="minorHAnsi"/>
          <w:b/>
          <w:color w:val="2E74B5"/>
          <w:sz w:val="24"/>
          <w:szCs w:val="24"/>
          <w:lang w:val="es-EC"/>
        </w:rPr>
        <w:t>NO APLICA</w:t>
      </w:r>
      <w:bookmarkEnd w:id="295"/>
    </w:p>
    <w:p>
      <w:pPr>
        <w:suppressAutoHyphens/>
        <w:ind w:left="720" w:right="-72"/>
        <w:jc w:val="both"/>
        <w:rPr>
          <w:rFonts w:asciiTheme="minorHAnsi" w:hAnsiTheme="minorHAnsi" w:cstheme="minorHAnsi"/>
          <w:sz w:val="20"/>
          <w:szCs w:val="20"/>
          <w:lang w:val="es-EC"/>
        </w:rPr>
      </w:pPr>
      <w:r>
        <w:rPr>
          <w:rFonts w:asciiTheme="minorHAnsi" w:hAnsiTheme="minorHAnsi" w:cstheme="minorHAnsi"/>
          <w:sz w:val="20"/>
          <w:szCs w:val="20"/>
          <w:lang w:val="es-EC"/>
        </w:rPr>
        <w:t>IAO 36.3 (d)</w:t>
      </w:r>
    </w:p>
    <w:p>
      <w:pPr>
        <w:suppressAutoHyphens/>
        <w:spacing w:line="240" w:lineRule="auto"/>
        <w:ind w:left="720" w:right="-72"/>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Al evaluar el costo de una oferta, el Comprador deberá considerar, además del precio cotizado, de conformidad con la Cláusula 14.6 de las IAO, uno o más de los siguientes factores estipulados en la Subcláusula 36.3(d) de las IAO y en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en referencia a la Cláusula IAO 36.3(d), aplicando los métodos y criterios indicados a continuación. </w:t>
      </w:r>
    </w:p>
    <w:p>
      <w:pPr>
        <w:numPr>
          <w:ilvl w:val="0"/>
          <w:numId w:val="7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Plan de entregas (según el código de Incoterms indicado en los </w:t>
      </w:r>
      <w:r>
        <w:rPr>
          <w:rFonts w:asciiTheme="minorHAnsi" w:hAnsiTheme="minorHAnsi" w:cstheme="minorHAnsi"/>
          <w:b/>
          <w:sz w:val="20"/>
          <w:szCs w:val="20"/>
          <w:lang w:val="es-EC"/>
        </w:rPr>
        <w:t>DDL</w:t>
      </w:r>
      <w:r>
        <w:rPr>
          <w:rFonts w:asciiTheme="minorHAnsi" w:hAnsiTheme="minorHAnsi" w:cstheme="minorHAnsi"/>
          <w:sz w:val="20"/>
          <w:szCs w:val="20"/>
          <w:lang w:val="es-EC"/>
        </w:rPr>
        <w:t>)</w:t>
      </w:r>
      <w:r>
        <w:rPr>
          <w:rFonts w:asciiTheme="minorHAnsi" w:hAnsiTheme="minorHAnsi" w:cstheme="minorHAnsi"/>
          <w:b/>
          <w:color w:val="2E74B5"/>
          <w:sz w:val="20"/>
          <w:szCs w:val="20"/>
          <w:lang w:val="es-EC"/>
        </w:rPr>
        <w:t>NO APLICA</w:t>
      </w:r>
    </w:p>
    <w:p>
      <w:pPr>
        <w:suppressAutoHyphens/>
        <w:spacing w:line="240" w:lineRule="auto"/>
        <w:ind w:left="1260" w:right="-72"/>
        <w:jc w:val="both"/>
        <w:rPr>
          <w:rFonts w:asciiTheme="minorHAnsi" w:hAnsiTheme="minorHAnsi" w:cstheme="minorHAnsi"/>
          <w:iCs/>
          <w:sz w:val="20"/>
          <w:szCs w:val="20"/>
          <w:lang w:val="es-EC"/>
        </w:rPr>
      </w:pPr>
      <w:r>
        <w:rPr>
          <w:rFonts w:asciiTheme="minorHAnsi" w:hAnsiTheme="minorHAnsi" w:cstheme="minorHAnsi"/>
          <w:sz w:val="20"/>
          <w:szCs w:val="20"/>
          <w:lang w:val="es-EC"/>
        </w:rPr>
        <w:t xml:space="preserve">Los Bienes detallados en la Lista de </w:t>
      </w:r>
      <w:r>
        <w:rPr>
          <w:rFonts w:asciiTheme="minorHAnsi" w:hAnsiTheme="minorHAnsi" w:cstheme="minorHAnsi"/>
          <w:iCs/>
          <w:sz w:val="20"/>
          <w:szCs w:val="20"/>
          <w:lang w:val="es-EC"/>
        </w:rPr>
        <w:t>Bienes</w:t>
      </w:r>
      <w:r>
        <w:rPr>
          <w:rFonts w:asciiTheme="minorHAnsi" w:hAnsiTheme="minorHAnsi" w:cstheme="minorHAnsi"/>
          <w:sz w:val="20"/>
          <w:szCs w:val="20"/>
          <w:lang w:val="es-EC"/>
        </w:rPr>
        <w:t xml:space="preserve"> deberán ser entregados dentro del plazo aceptable estipulado en la Sección VI, Plan de Entregas (después de la fecha más temprana y antes de la fecha final, incluyendo ambas fechas). No se otorgará crédito por entregas anteriores a la fecha más temprana, y las ofertas con propuestas de entrega posteriores a la fecha final se considerarán que no cumplen con lo solicitado. Solamente para propósitos de evaluación y según se especifica en los </w:t>
      </w:r>
      <w:r>
        <w:rPr>
          <w:rFonts w:asciiTheme="minorHAnsi" w:hAnsiTheme="minorHAnsi" w:cstheme="minorHAnsi"/>
          <w:b/>
          <w:sz w:val="20"/>
          <w:szCs w:val="20"/>
          <w:lang w:val="es-EC"/>
        </w:rPr>
        <w:t>DDL</w:t>
      </w:r>
      <w:r>
        <w:rPr>
          <w:rFonts w:asciiTheme="minorHAnsi" w:hAnsiTheme="minorHAnsi" w:cstheme="minorHAnsi"/>
          <w:sz w:val="20"/>
          <w:szCs w:val="20"/>
          <w:lang w:val="es-EC"/>
        </w:rPr>
        <w:t>, Subcláusula 36.3 (d), se adicionará un ajuste al precio de las ofertas que ofrezcan entregas después de la “Primera Fecha de Entrega” dentro de este plazo aceptable indicado en la Sección VI, Plan de Entregas.</w:t>
      </w:r>
    </w:p>
    <w:p>
      <w:pPr>
        <w:numPr>
          <w:ilvl w:val="0"/>
          <w:numId w:val="7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Variaciones en el Plan de Pagos. </w:t>
      </w:r>
      <w:r>
        <w:rPr>
          <w:rFonts w:asciiTheme="minorHAnsi" w:hAnsiTheme="minorHAnsi" w:cstheme="minorHAnsi"/>
          <w:b/>
          <w:color w:val="2E74B5"/>
          <w:sz w:val="20"/>
          <w:szCs w:val="20"/>
          <w:lang w:val="es-EC"/>
        </w:rPr>
        <w:t>NO APLICA</w:t>
      </w:r>
    </w:p>
    <w:p>
      <w:pPr>
        <w:spacing w:before="60" w:after="60" w:line="240" w:lineRule="auto"/>
        <w:ind w:left="1260"/>
        <w:jc w:val="both"/>
        <w:rPr>
          <w:rFonts w:asciiTheme="minorHAnsi" w:hAnsiTheme="minorHAnsi" w:cstheme="minorHAnsi"/>
          <w:sz w:val="20"/>
          <w:szCs w:val="20"/>
          <w:lang w:val="es-EC"/>
        </w:rPr>
      </w:pPr>
      <w:r>
        <w:rPr>
          <w:rFonts w:asciiTheme="minorHAnsi" w:hAnsiTheme="minorHAnsi" w:cstheme="minorHAnsi"/>
          <w:sz w:val="20"/>
          <w:szCs w:val="20"/>
          <w:lang w:val="es-EC"/>
        </w:rPr>
        <w:t>Insertar uno de los siguientes párrafos</w:t>
      </w:r>
      <w:r>
        <w:rPr>
          <w:rFonts w:asciiTheme="minorHAnsi" w:hAnsiTheme="minorHAnsi" w:cstheme="minorHAnsi"/>
          <w:iCs/>
          <w:sz w:val="20"/>
          <w:szCs w:val="20"/>
          <w:lang w:val="es-EC"/>
        </w:rPr>
        <w:t>:</w:t>
      </w:r>
    </w:p>
    <w:p>
      <w:pPr>
        <w:numPr>
          <w:ilvl w:val="0"/>
          <w:numId w:val="7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w:t>
      </w:r>
      <w:r>
        <w:rPr>
          <w:rFonts w:asciiTheme="minorHAnsi" w:hAnsiTheme="minorHAnsi" w:cstheme="minorHAnsi"/>
          <w:iCs/>
          <w:sz w:val="20"/>
          <w:szCs w:val="20"/>
          <w:lang w:val="es-EC"/>
        </w:rPr>
        <w:t>Oferentes</w:t>
      </w:r>
      <w:r>
        <w:rPr>
          <w:rFonts w:asciiTheme="minorHAnsi" w:hAnsiTheme="minorHAnsi" w:cstheme="minorHAnsi"/>
          <w:sz w:val="20"/>
          <w:szCs w:val="20"/>
          <w:lang w:val="es-EC"/>
        </w:rPr>
        <w:t xml:space="preserve"> cotizarán el precio de su oferta de acuerdo al plan de pagos establecido en las CEC. Las ofertas serán evaluadas sobre la base de este precio. Sin embargo los </w:t>
      </w:r>
      <w:r>
        <w:rPr>
          <w:rFonts w:asciiTheme="minorHAnsi" w:hAnsiTheme="minorHAnsi" w:cstheme="minorHAnsi"/>
          <w:iCs/>
          <w:sz w:val="20"/>
          <w:szCs w:val="20"/>
          <w:lang w:val="es-EC"/>
        </w:rPr>
        <w:t>Oferentes</w:t>
      </w:r>
      <w:r>
        <w:rPr>
          <w:rFonts w:asciiTheme="minorHAnsi" w:hAnsiTheme="minorHAnsi" w:cstheme="minorHAnsi"/>
          <w:sz w:val="20"/>
          <w:szCs w:val="20"/>
          <w:lang w:val="es-EC"/>
        </w:rPr>
        <w:t xml:space="preserve"> podrán ofrecer un plan de pagos </w:t>
      </w:r>
      <w:r>
        <w:rPr>
          <w:rFonts w:asciiTheme="minorHAnsi" w:hAnsiTheme="minorHAnsi" w:cstheme="minorHAnsi"/>
          <w:iCs/>
          <w:sz w:val="20"/>
          <w:szCs w:val="20"/>
          <w:lang w:val="es-EC"/>
        </w:rPr>
        <w:t>alternativo</w:t>
      </w:r>
      <w:r>
        <w:rPr>
          <w:rFonts w:asciiTheme="minorHAnsi" w:hAnsiTheme="minorHAnsi" w:cstheme="minorHAnsi"/>
          <w:sz w:val="20"/>
          <w:szCs w:val="20"/>
          <w:lang w:val="es-EC"/>
        </w:rPr>
        <w:t xml:space="preserve"> e indicar qué reducción de precios desean ofrecer por dicho plan de pagos </w:t>
      </w:r>
      <w:r>
        <w:rPr>
          <w:rFonts w:asciiTheme="minorHAnsi" w:hAnsiTheme="minorHAnsi" w:cstheme="minorHAnsi"/>
          <w:iCs/>
          <w:sz w:val="20"/>
          <w:szCs w:val="20"/>
          <w:lang w:val="es-EC"/>
        </w:rPr>
        <w:t>alternativo</w:t>
      </w:r>
      <w:r>
        <w:rPr>
          <w:rFonts w:asciiTheme="minorHAnsi" w:hAnsiTheme="minorHAnsi" w:cstheme="minorHAnsi"/>
          <w:sz w:val="20"/>
          <w:szCs w:val="20"/>
          <w:lang w:val="es-EC"/>
        </w:rPr>
        <w:t xml:space="preserve">. El Comprador podrá considerar el plan de pagos </w:t>
      </w:r>
      <w:r>
        <w:rPr>
          <w:rFonts w:asciiTheme="minorHAnsi" w:hAnsiTheme="minorHAnsi" w:cstheme="minorHAnsi"/>
          <w:iCs/>
          <w:sz w:val="20"/>
          <w:szCs w:val="20"/>
          <w:lang w:val="es-EC"/>
        </w:rPr>
        <w:t>alternativo</w:t>
      </w:r>
      <w:r>
        <w:rPr>
          <w:rFonts w:asciiTheme="minorHAnsi" w:hAnsiTheme="minorHAnsi" w:cstheme="minorHAnsi"/>
          <w:sz w:val="20"/>
          <w:szCs w:val="20"/>
          <w:lang w:val="es-EC"/>
        </w:rPr>
        <w:t xml:space="preserve"> y el precio reducido de la oferta ofrecido por el </w:t>
      </w:r>
      <w:r>
        <w:rPr>
          <w:rFonts w:asciiTheme="minorHAnsi" w:hAnsiTheme="minorHAnsi" w:cstheme="minorHAnsi"/>
          <w:iCs/>
          <w:sz w:val="20"/>
          <w:szCs w:val="20"/>
          <w:lang w:val="es-EC"/>
        </w:rPr>
        <w:t>Oferente</w:t>
      </w:r>
      <w:r>
        <w:rPr>
          <w:rFonts w:asciiTheme="minorHAnsi" w:hAnsiTheme="minorHAnsi" w:cstheme="minorHAnsi"/>
          <w:sz w:val="20"/>
          <w:szCs w:val="20"/>
          <w:lang w:val="es-EC"/>
        </w:rPr>
        <w:t xml:space="preserve"> seleccionado en función del precio base correspondiente al plan de pagos estipulado en las CEC</w:t>
      </w:r>
      <w:r>
        <w:rPr>
          <w:rFonts w:asciiTheme="minorHAnsi" w:hAnsiTheme="minorHAnsi" w:cstheme="minorHAnsi"/>
          <w:iCs/>
          <w:sz w:val="20"/>
          <w:szCs w:val="20"/>
          <w:lang w:val="es-EC"/>
        </w:rPr>
        <w:t>.</w:t>
      </w:r>
    </w:p>
    <w:p>
      <w:pPr>
        <w:tabs>
          <w:tab w:val="left" w:pos="1620"/>
        </w:tabs>
        <w:suppressAutoHyphens/>
        <w:spacing w:before="60" w:after="60" w:line="240" w:lineRule="auto"/>
        <w:ind w:left="1620" w:right="-72" w:hanging="540"/>
        <w:jc w:val="both"/>
        <w:rPr>
          <w:rFonts w:asciiTheme="minorHAnsi" w:hAnsiTheme="minorHAnsi" w:cstheme="minorHAnsi"/>
          <w:sz w:val="20"/>
          <w:szCs w:val="20"/>
          <w:lang w:val="es-EC"/>
        </w:rPr>
      </w:pPr>
      <w:r>
        <w:rPr>
          <w:rFonts w:asciiTheme="minorHAnsi" w:hAnsiTheme="minorHAnsi" w:cstheme="minorHAnsi"/>
          <w:sz w:val="20"/>
          <w:szCs w:val="20"/>
          <w:lang w:val="es-EC"/>
        </w:rPr>
        <w:t>o</w:t>
      </w:r>
    </w:p>
    <w:p>
      <w:pPr>
        <w:numPr>
          <w:ilvl w:val="0"/>
          <w:numId w:val="79"/>
        </w:numPr>
        <w:spacing w:before="60" w:after="60" w:line="240" w:lineRule="auto"/>
        <w:ind w:left="1620"/>
        <w:jc w:val="both"/>
        <w:rPr>
          <w:rFonts w:asciiTheme="minorHAnsi" w:hAnsiTheme="minorHAnsi" w:cstheme="minorHAnsi"/>
          <w:bCs/>
          <w:iCs/>
          <w:sz w:val="20"/>
          <w:szCs w:val="20"/>
          <w:lang w:val="es-EC"/>
        </w:rPr>
      </w:pPr>
      <w:r>
        <w:rPr>
          <w:rFonts w:asciiTheme="minorHAnsi" w:hAnsiTheme="minorHAnsi" w:cstheme="minorHAnsi"/>
          <w:sz w:val="20"/>
          <w:szCs w:val="20"/>
          <w:lang w:val="es-EC"/>
        </w:rPr>
        <w:t xml:space="preserve">Las CEC estipulan el plan de pagos establecido por el Comprador. Si una oferta se desvía de ese plan y dicha desviación es considerada aceptable por el Comprador, la oferta se evaluará calculando los intereses devengados por cualesquiera pagos anteriores correspondientes a las condiciones de la oferta comparados con los estipulados en las CEC, a la tasa anual estipulada en los </w:t>
      </w:r>
      <w:r>
        <w:rPr>
          <w:rFonts w:asciiTheme="minorHAnsi" w:hAnsiTheme="minorHAnsi" w:cstheme="minorHAnsi"/>
          <w:b/>
          <w:sz w:val="20"/>
          <w:szCs w:val="20"/>
          <w:lang w:val="es-EC"/>
        </w:rPr>
        <w:t>DDL</w:t>
      </w:r>
      <w:r>
        <w:rPr>
          <w:rFonts w:asciiTheme="minorHAnsi" w:hAnsiTheme="minorHAnsi" w:cstheme="minorHAnsi"/>
          <w:sz w:val="20"/>
          <w:szCs w:val="20"/>
          <w:lang w:val="es-EC"/>
        </w:rPr>
        <w:t>, Subcláusula 36.3 (d).</w:t>
      </w:r>
    </w:p>
    <w:p>
      <w:pPr>
        <w:numPr>
          <w:ilvl w:val="0"/>
          <w:numId w:val="7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Costo del reemplazo de principales componentes de reemplazo, repuestos obligatorios y servicios. </w:t>
      </w:r>
      <w:r>
        <w:rPr>
          <w:rFonts w:asciiTheme="minorHAnsi" w:hAnsiTheme="minorHAnsi" w:cstheme="minorHAnsi"/>
          <w:b/>
          <w:color w:val="2E74B5"/>
          <w:sz w:val="20"/>
          <w:szCs w:val="20"/>
          <w:lang w:val="es-EC"/>
        </w:rPr>
        <w:t>NO APLICA</w:t>
      </w:r>
    </w:p>
    <w:p>
      <w:pPr>
        <w:spacing w:before="60" w:after="60" w:line="240" w:lineRule="auto"/>
        <w:ind w:left="1260"/>
        <w:jc w:val="both"/>
        <w:rPr>
          <w:rFonts w:asciiTheme="minorHAnsi" w:hAnsiTheme="minorHAnsi" w:cstheme="minorHAnsi"/>
          <w:sz w:val="20"/>
          <w:szCs w:val="20"/>
          <w:lang w:val="es-EC"/>
        </w:rPr>
      </w:pPr>
      <w:r>
        <w:rPr>
          <w:rFonts w:asciiTheme="minorHAnsi" w:hAnsiTheme="minorHAnsi" w:cstheme="minorHAnsi"/>
          <w:sz w:val="20"/>
          <w:szCs w:val="20"/>
          <w:lang w:val="es-EC"/>
        </w:rPr>
        <w:t>Insertar uno de los siguientes párrafos</w:t>
      </w:r>
      <w:r>
        <w:rPr>
          <w:rFonts w:asciiTheme="minorHAnsi" w:hAnsiTheme="minorHAnsi" w:cstheme="minorHAnsi"/>
          <w:iCs/>
          <w:sz w:val="20"/>
          <w:szCs w:val="20"/>
          <w:lang w:val="es-EC"/>
        </w:rPr>
        <w:t>:</w:t>
      </w:r>
    </w:p>
    <w:p>
      <w:pPr>
        <w:numPr>
          <w:ilvl w:val="0"/>
          <w:numId w:val="80"/>
        </w:numPr>
        <w:spacing w:before="60" w:after="60" w:line="240" w:lineRule="auto"/>
        <w:ind w:left="1620"/>
        <w:jc w:val="both"/>
        <w:rPr>
          <w:rFonts w:asciiTheme="minorHAnsi" w:hAnsiTheme="minorHAnsi" w:cstheme="minorHAnsi"/>
          <w:iCs/>
          <w:sz w:val="20"/>
          <w:szCs w:val="20"/>
          <w:lang w:val="es-EC"/>
        </w:rPr>
      </w:pPr>
      <w:r>
        <w:rPr>
          <w:rFonts w:asciiTheme="minorHAnsi" w:hAnsiTheme="minorHAnsi" w:cstheme="minorHAnsi"/>
          <w:sz w:val="20"/>
          <w:szCs w:val="20"/>
          <w:lang w:val="es-EC"/>
        </w:rPr>
        <w:t xml:space="preserve">La lista de los artículos y las cantidades de piezas ensambladas, componentes y repuestos seleccionados principales que posiblemente se necesiten durante el período inicial de funcionamiento especificado en los </w:t>
      </w:r>
      <w:r>
        <w:rPr>
          <w:rFonts w:asciiTheme="minorHAnsi" w:hAnsiTheme="minorHAnsi" w:cstheme="minorHAnsi"/>
          <w:b/>
          <w:sz w:val="20"/>
          <w:szCs w:val="20"/>
          <w:lang w:val="es-EC"/>
        </w:rPr>
        <w:t>DDL</w:t>
      </w:r>
      <w:r>
        <w:rPr>
          <w:rFonts w:asciiTheme="minorHAnsi" w:hAnsiTheme="minorHAnsi" w:cstheme="minorHAnsi"/>
          <w:sz w:val="20"/>
          <w:szCs w:val="20"/>
          <w:lang w:val="es-EC"/>
        </w:rPr>
        <w:t>, Subcláusula 18.3, se presenta en la Lista de Bienes. Para fines de evaluación solamente, se agregará al precio de la oferta un ajuste equivalente al costo total de estos artículos, calculado sobre la base de los precios unitarios cotizados en cada oferta.</w:t>
      </w:r>
    </w:p>
    <w:p>
      <w:pPr>
        <w:tabs>
          <w:tab w:val="left" w:pos="1620"/>
        </w:tabs>
        <w:suppressAutoHyphens/>
        <w:spacing w:before="60" w:after="60"/>
        <w:ind w:left="1620" w:right="-72" w:hanging="540"/>
        <w:jc w:val="both"/>
        <w:rPr>
          <w:rFonts w:asciiTheme="minorHAnsi" w:hAnsiTheme="minorHAnsi" w:cstheme="minorHAnsi"/>
          <w:sz w:val="20"/>
          <w:szCs w:val="20"/>
          <w:lang w:val="es-EC"/>
        </w:rPr>
      </w:pPr>
      <w:r>
        <w:rPr>
          <w:rFonts w:asciiTheme="minorHAnsi" w:hAnsiTheme="minorHAnsi" w:cstheme="minorHAnsi"/>
          <w:sz w:val="20"/>
          <w:szCs w:val="20"/>
          <w:lang w:val="es-EC"/>
        </w:rPr>
        <w:t>o</w:t>
      </w:r>
    </w:p>
    <w:p>
      <w:pPr>
        <w:numPr>
          <w:ilvl w:val="0"/>
          <w:numId w:val="8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i/>
          <w:sz w:val="20"/>
          <w:szCs w:val="20"/>
          <w:lang w:val="es-EC"/>
        </w:rPr>
        <w:t xml:space="preserve">El Comprador preparará una lista de componentes y repuestos de alto valor y frecuencia de uso y estimará las cantidades de éstos que utilizará durante el período inicial de funcionamiento de los Bienes que se especifica en los </w:t>
      </w:r>
      <w:r>
        <w:rPr>
          <w:rFonts w:asciiTheme="minorHAnsi" w:hAnsiTheme="minorHAnsi" w:cstheme="minorHAnsi"/>
          <w:b/>
          <w:i/>
          <w:sz w:val="20"/>
          <w:szCs w:val="20"/>
          <w:lang w:val="es-EC"/>
        </w:rPr>
        <w:t>DDL</w:t>
      </w:r>
      <w:r>
        <w:rPr>
          <w:rFonts w:asciiTheme="minorHAnsi" w:hAnsiTheme="minorHAnsi" w:cstheme="minorHAnsi"/>
          <w:i/>
          <w:sz w:val="20"/>
          <w:szCs w:val="20"/>
          <w:lang w:val="es-EC"/>
        </w:rPr>
        <w:t>, Subcláusula 18.3</w:t>
      </w:r>
      <w:r>
        <w:rPr>
          <w:rFonts w:asciiTheme="minorHAnsi" w:hAnsiTheme="minorHAnsi" w:cstheme="minorHAnsi"/>
          <w:b/>
          <w:i/>
          <w:sz w:val="20"/>
          <w:szCs w:val="20"/>
          <w:lang w:val="es-EC"/>
        </w:rPr>
        <w:t>.</w:t>
      </w:r>
      <w:r>
        <w:rPr>
          <w:rFonts w:asciiTheme="minorHAnsi" w:hAnsiTheme="minorHAnsi" w:cstheme="minorHAnsi"/>
          <w:i/>
          <w:sz w:val="20"/>
          <w:szCs w:val="20"/>
          <w:lang w:val="es-EC"/>
        </w:rPr>
        <w:t xml:space="preserve"> Para fines de evaluación solamente, el costo total de estos artículos y cantidades será calculado sobre la base de los precios unitarios de los repuestos cotizados por 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y se agregará al precio de la oferta</w:t>
      </w:r>
      <w:r>
        <w:rPr>
          <w:rFonts w:asciiTheme="minorHAnsi" w:hAnsiTheme="minorHAnsi" w:cstheme="minorHAnsi"/>
          <w:i/>
          <w:iCs/>
          <w:sz w:val="20"/>
          <w:szCs w:val="20"/>
          <w:lang w:val="es-EC"/>
        </w:rPr>
        <w:t>.]</w:t>
      </w:r>
    </w:p>
    <w:p>
      <w:pPr>
        <w:numPr>
          <w:ilvl w:val="0"/>
          <w:numId w:val="78"/>
        </w:numPr>
        <w:spacing w:before="60" w:after="60" w:line="240" w:lineRule="auto"/>
        <w:ind w:left="1267" w:hanging="720"/>
        <w:jc w:val="both"/>
        <w:rPr>
          <w:rFonts w:asciiTheme="minorHAnsi" w:hAnsiTheme="minorHAnsi" w:cstheme="minorHAnsi"/>
          <w:i/>
          <w:iCs/>
          <w:sz w:val="20"/>
          <w:szCs w:val="20"/>
          <w:lang w:val="es-EC"/>
        </w:rPr>
      </w:pPr>
      <w:r>
        <w:rPr>
          <w:rFonts w:asciiTheme="minorHAnsi" w:hAnsiTheme="minorHAnsi" w:cstheme="minorHAnsi"/>
          <w:sz w:val="20"/>
          <w:szCs w:val="20"/>
          <w:lang w:val="es-EC"/>
        </w:rPr>
        <w:t>Disponibilidad en el país del Comprador de repuestos y servicios para los equipos ofrecidos en la licitación después de la venta</w:t>
      </w:r>
      <w:r>
        <w:rPr>
          <w:rFonts w:asciiTheme="minorHAnsi" w:hAnsiTheme="minorHAnsi" w:cstheme="minorHAnsi"/>
          <w:i/>
          <w:iCs/>
          <w:sz w:val="20"/>
          <w:szCs w:val="20"/>
          <w:lang w:val="es-EC"/>
        </w:rPr>
        <w:t xml:space="preserve">. </w:t>
      </w:r>
      <w:r>
        <w:rPr>
          <w:rFonts w:asciiTheme="minorHAnsi" w:hAnsiTheme="minorHAnsi" w:cstheme="minorHAnsi"/>
          <w:b/>
          <w:color w:val="2E74B5"/>
          <w:sz w:val="20"/>
          <w:szCs w:val="20"/>
          <w:lang w:val="es-EC"/>
        </w:rPr>
        <w:t>NO APLICA</w:t>
      </w:r>
    </w:p>
    <w:p>
      <w:pPr>
        <w:suppressAutoHyphens/>
        <w:spacing w:line="240" w:lineRule="auto"/>
        <w:ind w:left="1267" w:right="-72"/>
        <w:jc w:val="both"/>
        <w:rPr>
          <w:rFonts w:asciiTheme="minorHAnsi" w:hAnsiTheme="minorHAnsi" w:cstheme="minorHAnsi"/>
          <w:i/>
          <w:iCs/>
          <w:sz w:val="20"/>
          <w:szCs w:val="20"/>
          <w:lang w:val="es-EC"/>
        </w:rPr>
      </w:pPr>
      <w:r>
        <w:rPr>
          <w:rFonts w:asciiTheme="minorHAnsi" w:hAnsiTheme="minorHAnsi" w:cstheme="minorHAnsi"/>
          <w:sz w:val="20"/>
          <w:szCs w:val="20"/>
          <w:lang w:val="es-EC"/>
        </w:rPr>
        <w:t xml:space="preserve">Para fines de evaluación solamente, se sumará al precio de la oferta una suma equivalente a lo que le costaría al Comprador el establecimiento de instalaciones de servicio y existencias de repuestos mínimas, como se detalla en la Subcláusula 36.3 (d) de los </w:t>
      </w:r>
      <w:r>
        <w:rPr>
          <w:rFonts w:asciiTheme="minorHAnsi" w:hAnsiTheme="minorHAnsi" w:cstheme="minorHAnsi"/>
          <w:b/>
          <w:sz w:val="20"/>
          <w:szCs w:val="20"/>
          <w:lang w:val="es-EC"/>
        </w:rPr>
        <w:t>DDL</w:t>
      </w:r>
      <w:r>
        <w:rPr>
          <w:rFonts w:asciiTheme="minorHAnsi" w:hAnsiTheme="minorHAnsi" w:cstheme="minorHAnsi"/>
          <w:sz w:val="20"/>
          <w:szCs w:val="20"/>
          <w:lang w:val="es-EC"/>
        </w:rPr>
        <w:t>, si la misma fuera cotizada por separado</w:t>
      </w:r>
      <w:r>
        <w:rPr>
          <w:rFonts w:asciiTheme="minorHAnsi" w:hAnsiTheme="minorHAnsi" w:cstheme="minorHAnsi"/>
          <w:i/>
          <w:iCs/>
          <w:sz w:val="20"/>
          <w:szCs w:val="20"/>
          <w:lang w:val="es-EC"/>
        </w:rPr>
        <w:t>.</w:t>
      </w:r>
    </w:p>
    <w:p>
      <w:pPr>
        <w:numPr>
          <w:ilvl w:val="0"/>
          <w:numId w:val="7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Costos estimados de operación y mantenimiento. </w:t>
      </w:r>
      <w:r>
        <w:rPr>
          <w:rFonts w:asciiTheme="minorHAnsi" w:hAnsiTheme="minorHAnsi" w:cstheme="minorHAnsi"/>
          <w:b/>
          <w:color w:val="2E74B5"/>
          <w:sz w:val="20"/>
          <w:szCs w:val="20"/>
          <w:lang w:val="es-EC"/>
        </w:rPr>
        <w:t>NO APLICA</w:t>
      </w:r>
    </w:p>
    <w:p>
      <w:pPr>
        <w:spacing w:before="60" w:after="60" w:line="240" w:lineRule="auto"/>
        <w:ind w:left="126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Para propósitos de evaluación solamente, se sumará al precio de la oferta un ajuste equivalente al costo de operación y mantenimiento durante la vida útil de los Bienes, si así se establece en la Subcláusula 36.3 (d) de los </w:t>
      </w:r>
      <w:r>
        <w:rPr>
          <w:rFonts w:asciiTheme="minorHAnsi" w:hAnsiTheme="minorHAnsi" w:cstheme="minorHAnsi"/>
          <w:b/>
          <w:sz w:val="20"/>
          <w:szCs w:val="20"/>
          <w:lang w:val="es-EC"/>
        </w:rPr>
        <w:t>DDL</w:t>
      </w:r>
      <w:r>
        <w:rPr>
          <w:rFonts w:asciiTheme="minorHAnsi" w:hAnsiTheme="minorHAnsi" w:cstheme="minorHAnsi"/>
          <w:sz w:val="20"/>
          <w:szCs w:val="20"/>
          <w:lang w:val="es-EC"/>
        </w:rPr>
        <w:t xml:space="preserve">. El ajuste será evaluado de conformidad con la metodología establecida en la Subcláusula 36.3 (d) de los </w:t>
      </w:r>
      <w:r>
        <w:rPr>
          <w:rFonts w:asciiTheme="minorHAnsi" w:hAnsiTheme="minorHAnsi" w:cstheme="minorHAnsi"/>
          <w:b/>
          <w:sz w:val="20"/>
          <w:szCs w:val="20"/>
          <w:lang w:val="es-EC"/>
        </w:rPr>
        <w:t xml:space="preserve">DDL. </w:t>
      </w:r>
    </w:p>
    <w:p>
      <w:pPr>
        <w:numPr>
          <w:ilvl w:val="0"/>
          <w:numId w:val="7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Desempeño y productividad del equipo </w:t>
      </w:r>
      <w:r>
        <w:rPr>
          <w:rFonts w:asciiTheme="minorHAnsi" w:hAnsiTheme="minorHAnsi" w:cstheme="minorHAnsi"/>
          <w:b/>
          <w:color w:val="2E74B5"/>
          <w:sz w:val="20"/>
          <w:szCs w:val="20"/>
          <w:lang w:val="es-EC"/>
        </w:rPr>
        <w:t>NO APLICA</w:t>
      </w:r>
    </w:p>
    <w:p>
      <w:pPr>
        <w:numPr>
          <w:ilvl w:val="0"/>
          <w:numId w:val="81"/>
        </w:numPr>
        <w:spacing w:before="60" w:after="60" w:line="240" w:lineRule="auto"/>
        <w:ind w:left="1620"/>
        <w:jc w:val="both"/>
        <w:rPr>
          <w:rFonts w:asciiTheme="minorHAnsi" w:hAnsiTheme="minorHAnsi" w:cstheme="minorHAnsi"/>
          <w:iCs/>
          <w:sz w:val="20"/>
          <w:szCs w:val="20"/>
          <w:lang w:val="es-EC"/>
        </w:rPr>
      </w:pPr>
      <w:r>
        <w:rPr>
          <w:rFonts w:asciiTheme="minorHAnsi" w:hAnsiTheme="minorHAnsi" w:cstheme="minorHAnsi"/>
          <w:sz w:val="20"/>
          <w:szCs w:val="20"/>
          <w:lang w:val="es-EC"/>
        </w:rPr>
        <w:t>Para fines de evaluación solamente, se agregará al precio cotizado un ajuste representativo del valor capitalizado de costos de operación adicionales aplicables durante la vida útil del equipo, si así se dispone en la Subcláusula 36.3 (d) de los DDL. El ajuste será evaluado sobre la base de la disminución de la garantía de productividad o eficiencia ofrecida en la oferta que se encuentre por debajo de la norma de 100, utilizando la metodología establecida en los DDL Subcláusula 36.3 (d)</w:t>
      </w:r>
      <w:r>
        <w:rPr>
          <w:rFonts w:asciiTheme="minorHAnsi" w:hAnsiTheme="minorHAnsi" w:cstheme="minorHAnsi"/>
          <w:iCs/>
          <w:sz w:val="20"/>
          <w:szCs w:val="20"/>
          <w:lang w:val="es-EC"/>
        </w:rPr>
        <w:t>.</w:t>
      </w:r>
    </w:p>
    <w:p>
      <w:pPr>
        <w:tabs>
          <w:tab w:val="left" w:pos="1620"/>
        </w:tabs>
        <w:suppressAutoHyphens/>
        <w:ind w:left="1620" w:right="-72" w:hanging="540"/>
        <w:jc w:val="both"/>
        <w:rPr>
          <w:rFonts w:asciiTheme="minorHAnsi" w:hAnsiTheme="minorHAnsi" w:cstheme="minorHAnsi"/>
          <w:sz w:val="20"/>
          <w:szCs w:val="20"/>
          <w:lang w:val="es-EC"/>
        </w:rPr>
      </w:pPr>
      <w:r>
        <w:rPr>
          <w:rFonts w:asciiTheme="minorHAnsi" w:hAnsiTheme="minorHAnsi" w:cstheme="minorHAnsi"/>
          <w:sz w:val="20"/>
          <w:szCs w:val="20"/>
          <w:lang w:val="es-EC"/>
        </w:rPr>
        <w:t>O,</w:t>
      </w:r>
    </w:p>
    <w:p>
      <w:pPr>
        <w:numPr>
          <w:ilvl w:val="0"/>
          <w:numId w:val="81"/>
        </w:numPr>
        <w:spacing w:before="60" w:after="60" w:line="240" w:lineRule="auto"/>
        <w:ind w:left="1620"/>
        <w:jc w:val="both"/>
        <w:rPr>
          <w:rFonts w:asciiTheme="minorHAnsi" w:hAnsiTheme="minorHAnsi" w:cstheme="minorHAnsi"/>
          <w:iCs/>
          <w:sz w:val="20"/>
          <w:szCs w:val="20"/>
          <w:lang w:val="es-EC"/>
        </w:rPr>
      </w:pPr>
      <w:r>
        <w:rPr>
          <w:rFonts w:asciiTheme="minorHAnsi" w:hAnsiTheme="minorHAnsi" w:cstheme="minorHAnsi"/>
          <w:sz w:val="20"/>
          <w:szCs w:val="20"/>
          <w:lang w:val="es-EC"/>
        </w:rPr>
        <w:t>Para fines de evaluación solamente, se agregará un ajuste al precio de la oferta para tomar en cuenta la productividad de los bienes cotizados en la oferta, si así se dispone en la Subcláusula 36.3 (d) de los DDL. El ajuste se evaluará sobre la base del costo por unidad de la productividad real de los bienes cotizados en la oferta con relación a los valores mínimos requeridos, utilizando la metodología establecida en la Subcláusula 36.3 (d) de los DDL.</w:t>
      </w:r>
    </w:p>
    <w:p>
      <w:pPr>
        <w:spacing w:before="60" w:after="60" w:line="240" w:lineRule="auto"/>
        <w:ind w:left="1620"/>
        <w:jc w:val="both"/>
        <w:rPr>
          <w:rFonts w:asciiTheme="minorHAnsi" w:hAnsiTheme="minorHAnsi" w:cstheme="minorHAnsi"/>
          <w:iCs/>
          <w:sz w:val="20"/>
          <w:szCs w:val="20"/>
          <w:lang w:val="es-EC"/>
        </w:rPr>
      </w:pPr>
    </w:p>
    <w:p>
      <w:pPr>
        <w:numPr>
          <w:ilvl w:val="0"/>
          <w:numId w:val="7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Criterios específicos adicionales </w:t>
      </w:r>
      <w:r>
        <w:rPr>
          <w:rFonts w:asciiTheme="minorHAnsi" w:hAnsiTheme="minorHAnsi" w:cstheme="minorHAnsi"/>
          <w:b/>
          <w:color w:val="2E74B5"/>
          <w:sz w:val="20"/>
          <w:szCs w:val="20"/>
          <w:lang w:val="es-EC"/>
        </w:rPr>
        <w:t>NO APLICA</w:t>
      </w:r>
    </w:p>
    <w:p>
      <w:pPr>
        <w:keepNext/>
        <w:keepLines/>
        <w:numPr>
          <w:ilvl w:val="0"/>
          <w:numId w:val="75"/>
        </w:numPr>
        <w:spacing w:before="240" w:after="0" w:line="240" w:lineRule="auto"/>
        <w:outlineLvl w:val="1"/>
        <w:rPr>
          <w:rFonts w:eastAsia="Times New Roman" w:asciiTheme="minorHAnsi" w:hAnsiTheme="minorHAnsi" w:cstheme="minorHAnsi"/>
          <w:b/>
          <w:bCs/>
          <w:sz w:val="20"/>
          <w:szCs w:val="20"/>
          <w:lang w:val="es-EC"/>
        </w:rPr>
      </w:pPr>
      <w:bookmarkStart w:id="296" w:name="_Toc478103468"/>
      <w:r>
        <w:rPr>
          <w:rFonts w:eastAsia="Times New Roman" w:asciiTheme="minorHAnsi" w:hAnsiTheme="minorHAnsi" w:cstheme="minorHAnsi"/>
          <w:b/>
          <w:bCs/>
          <w:sz w:val="20"/>
          <w:szCs w:val="20"/>
          <w:lang w:val="es-EC"/>
        </w:rPr>
        <w:t xml:space="preserve">Contratos Múltiples – </w:t>
      </w:r>
      <w:bookmarkEnd w:id="296"/>
      <w:r>
        <w:rPr>
          <w:rFonts w:eastAsia="Times New Roman" w:asciiTheme="minorHAnsi" w:hAnsiTheme="minorHAnsi" w:cstheme="minorHAnsi"/>
          <w:b/>
          <w:bCs/>
          <w:color w:val="2E74B5"/>
          <w:sz w:val="20"/>
          <w:szCs w:val="20"/>
          <w:lang w:val="es-EC"/>
        </w:rPr>
        <w:t>SI APLICA</w:t>
      </w:r>
    </w:p>
    <w:p>
      <w:pPr>
        <w:suppressAutoHyphens/>
        <w:ind w:left="720" w:right="-72"/>
        <w:jc w:val="both"/>
        <w:rPr>
          <w:rFonts w:asciiTheme="minorHAnsi" w:hAnsiTheme="minorHAnsi" w:cstheme="minorHAnsi"/>
          <w:sz w:val="20"/>
          <w:szCs w:val="20"/>
          <w:lang w:val="es-EC"/>
        </w:rPr>
      </w:pPr>
      <w:r>
        <w:rPr>
          <w:rFonts w:asciiTheme="minorHAnsi" w:hAnsiTheme="minorHAnsi" w:cstheme="minorHAnsi"/>
          <w:sz w:val="20"/>
          <w:szCs w:val="20"/>
          <w:lang w:val="es-EC"/>
        </w:rPr>
        <w:t>IAO 36.6</w:t>
      </w:r>
    </w:p>
    <w:p>
      <w:pPr>
        <w:spacing w:before="60" w:after="60" w:line="240" w:lineRule="auto"/>
        <w:ind w:left="720"/>
        <w:jc w:val="both"/>
        <w:rPr>
          <w:rFonts w:asciiTheme="minorHAnsi" w:hAnsiTheme="minorHAnsi" w:cstheme="minorHAnsi"/>
          <w:bCs/>
          <w:sz w:val="20"/>
          <w:szCs w:val="20"/>
          <w:lang w:val="es-EC"/>
        </w:rPr>
      </w:pPr>
      <w:r>
        <w:rPr>
          <w:rFonts w:asciiTheme="minorHAnsi" w:hAnsiTheme="minorHAnsi" w:cstheme="minorHAnsi"/>
          <w:sz w:val="20"/>
          <w:szCs w:val="20"/>
          <w:lang w:val="es-EC"/>
        </w:rPr>
        <w:t>El Comprador adjudicará contratos múltiples al Oferente que ofrezca la combinación de ofertas que sea evaluada como la más baja (un contrato por oferta) y que cumpla con los criterios de Calificación Posterior (en esta Sección III, Subcláusula 38.2 de las IAO, Requisitos de Calificación Posterior).</w:t>
      </w:r>
    </w:p>
    <w:p>
      <w:pPr>
        <w:suppressAutoHyphens/>
        <w:spacing w:before="60" w:after="60" w:line="240" w:lineRule="auto"/>
        <w:ind w:left="720" w:right="-72"/>
        <w:jc w:val="both"/>
        <w:rPr>
          <w:rFonts w:asciiTheme="minorHAnsi" w:hAnsiTheme="minorHAnsi" w:cstheme="minorHAnsi"/>
          <w:sz w:val="20"/>
          <w:szCs w:val="20"/>
          <w:lang w:val="es-EC"/>
        </w:rPr>
      </w:pPr>
      <w:r>
        <w:rPr>
          <w:rFonts w:asciiTheme="minorHAnsi" w:hAnsiTheme="minorHAnsi" w:cstheme="minorHAnsi"/>
          <w:sz w:val="20"/>
          <w:szCs w:val="20"/>
          <w:lang w:val="es-EC"/>
        </w:rPr>
        <w:t>El Comprador:</w:t>
      </w:r>
    </w:p>
    <w:p>
      <w:pPr>
        <w:numPr>
          <w:ilvl w:val="0"/>
          <w:numId w:val="82"/>
        </w:numPr>
        <w:spacing w:before="60" w:after="60" w:line="240" w:lineRule="auto"/>
        <w:ind w:left="1620"/>
        <w:jc w:val="both"/>
        <w:rPr>
          <w:rFonts w:asciiTheme="minorHAnsi" w:hAnsiTheme="minorHAnsi" w:cstheme="minorHAnsi"/>
          <w:iCs/>
          <w:sz w:val="20"/>
          <w:szCs w:val="20"/>
          <w:lang w:val="es-EC"/>
        </w:rPr>
      </w:pPr>
      <w:r>
        <w:rPr>
          <w:rFonts w:asciiTheme="minorHAnsi" w:hAnsiTheme="minorHAnsi" w:cstheme="minorHAnsi"/>
          <w:sz w:val="20"/>
          <w:szCs w:val="20"/>
          <w:lang w:val="es-EC"/>
        </w:rPr>
        <w:t>evaluará solamente los lotes o contratos que contengan por lo menos el porcentaje de los artículos por lote y de cantidades por artículo que se establece en la Subcláusula 14.8 de las IAO.</w:t>
      </w:r>
    </w:p>
    <w:p>
      <w:pPr>
        <w:numPr>
          <w:ilvl w:val="0"/>
          <w:numId w:val="82"/>
        </w:numPr>
        <w:spacing w:before="60" w:after="60" w:line="240" w:lineRule="auto"/>
        <w:ind w:left="1620"/>
        <w:jc w:val="both"/>
        <w:rPr>
          <w:rFonts w:asciiTheme="minorHAnsi" w:hAnsiTheme="minorHAnsi" w:cstheme="minorHAnsi"/>
          <w:iCs/>
          <w:sz w:val="20"/>
          <w:szCs w:val="20"/>
          <w:lang w:val="es-EC"/>
        </w:rPr>
      </w:pPr>
      <w:r>
        <w:rPr>
          <w:rFonts w:asciiTheme="minorHAnsi" w:hAnsiTheme="minorHAnsi" w:cstheme="minorHAnsi"/>
          <w:sz w:val="20"/>
          <w:szCs w:val="20"/>
          <w:lang w:val="es-EC"/>
        </w:rPr>
        <w:t>tendrá en cuenta</w:t>
      </w:r>
      <w:r>
        <w:rPr>
          <w:rFonts w:asciiTheme="minorHAnsi" w:hAnsiTheme="minorHAnsi" w:cstheme="minorHAnsi"/>
          <w:iCs/>
          <w:sz w:val="20"/>
          <w:szCs w:val="20"/>
          <w:lang w:val="es-EC"/>
        </w:rPr>
        <w:t>:</w:t>
      </w:r>
    </w:p>
    <w:p>
      <w:pPr>
        <w:pStyle w:val="64"/>
        <w:numPr>
          <w:ilvl w:val="0"/>
          <w:numId w:val="83"/>
        </w:numPr>
        <w:spacing w:before="60" w:after="60" w:line="240" w:lineRule="auto"/>
        <w:ind w:left="1980"/>
        <w:contextualSpacing w:val="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la oferta evaluada más baja para cada lote; y</w:t>
      </w:r>
    </w:p>
    <w:p>
      <w:pPr>
        <w:pStyle w:val="64"/>
        <w:numPr>
          <w:ilvl w:val="0"/>
          <w:numId w:val="83"/>
        </w:numPr>
        <w:spacing w:before="60" w:after="60" w:line="240" w:lineRule="auto"/>
        <w:ind w:left="1980"/>
        <w:contextualSpacing w:val="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la reducción de precio por lote y la metodología de aplicación que ofrece el Oferente en su oferta.</w:t>
      </w:r>
    </w:p>
    <w:p>
      <w:pPr>
        <w:keepNext/>
        <w:keepLines/>
        <w:numPr>
          <w:ilvl w:val="0"/>
          <w:numId w:val="75"/>
        </w:numPr>
        <w:spacing w:before="240" w:after="0" w:line="240" w:lineRule="auto"/>
        <w:outlineLvl w:val="1"/>
        <w:rPr>
          <w:rFonts w:eastAsia="Times New Roman" w:asciiTheme="minorHAnsi" w:hAnsiTheme="minorHAnsi" w:cstheme="minorHAnsi"/>
          <w:b/>
          <w:bCs/>
          <w:sz w:val="20"/>
          <w:szCs w:val="20"/>
          <w:lang w:val="es-EC"/>
        </w:rPr>
      </w:pPr>
      <w:bookmarkStart w:id="297" w:name="_Toc478103469"/>
      <w:r>
        <w:rPr>
          <w:rFonts w:eastAsia="Times New Roman" w:asciiTheme="minorHAnsi" w:hAnsiTheme="minorHAnsi" w:cstheme="minorHAnsi"/>
          <w:b/>
          <w:bCs/>
          <w:sz w:val="20"/>
          <w:szCs w:val="20"/>
          <w:lang w:val="es-EC"/>
        </w:rPr>
        <w:t xml:space="preserve">Requisitos para Calificación Posterior – </w:t>
      </w:r>
      <w:r>
        <w:rPr>
          <w:rFonts w:asciiTheme="minorHAnsi" w:hAnsiTheme="minorHAnsi" w:cstheme="minorHAnsi"/>
          <w:b/>
          <w:color w:val="2E74B5"/>
          <w:sz w:val="20"/>
          <w:szCs w:val="20"/>
          <w:lang w:val="es-EC"/>
        </w:rPr>
        <w:t>SI APLICA</w:t>
      </w:r>
      <w:bookmarkEnd w:id="297"/>
    </w:p>
    <w:p>
      <w:pPr>
        <w:suppressAutoHyphens/>
        <w:ind w:left="720" w:right="-72"/>
        <w:jc w:val="both"/>
        <w:rPr>
          <w:rFonts w:asciiTheme="minorHAnsi" w:hAnsiTheme="minorHAnsi" w:cstheme="minorHAnsi"/>
          <w:sz w:val="20"/>
          <w:szCs w:val="20"/>
          <w:lang w:val="es-EC"/>
        </w:rPr>
      </w:pPr>
      <w:r>
        <w:rPr>
          <w:rFonts w:asciiTheme="minorHAnsi" w:hAnsiTheme="minorHAnsi" w:cstheme="minorHAnsi"/>
          <w:sz w:val="20"/>
          <w:szCs w:val="20"/>
          <w:lang w:val="es-EC"/>
        </w:rPr>
        <w:t>IAO 38.2</w:t>
      </w:r>
    </w:p>
    <w:p>
      <w:pPr>
        <w:pStyle w:val="61"/>
        <w:spacing w:before="60" w:after="60"/>
        <w:ind w:left="720"/>
        <w:jc w:val="both"/>
        <w:rPr>
          <w:rFonts w:asciiTheme="minorHAnsi" w:hAnsiTheme="minorHAnsi" w:cstheme="minorHAnsi"/>
          <w:sz w:val="20"/>
          <w:lang w:val="es-EC"/>
        </w:rPr>
      </w:pPr>
      <w:r>
        <w:rPr>
          <w:rFonts w:asciiTheme="minorHAnsi" w:hAnsiTheme="minorHAnsi" w:cstheme="minorHAnsi"/>
          <w:sz w:val="20"/>
          <w:lang w:val="es-EC"/>
        </w:rPr>
        <w:t xml:space="preserve">Después de determinar la oferta evaluada más baja según lo establecido en la Subcláusula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 </w:t>
      </w:r>
    </w:p>
    <w:p>
      <w:pPr>
        <w:pStyle w:val="61"/>
        <w:spacing w:before="60" w:after="60"/>
        <w:ind w:left="720"/>
        <w:jc w:val="both"/>
        <w:rPr>
          <w:rFonts w:asciiTheme="minorHAnsi" w:hAnsiTheme="minorHAnsi" w:cstheme="minorHAnsi"/>
          <w:sz w:val="20"/>
          <w:lang w:val="es-EC"/>
        </w:rPr>
      </w:pPr>
    </w:p>
    <w:p>
      <w:pPr>
        <w:numPr>
          <w:ilvl w:val="0"/>
          <w:numId w:val="84"/>
        </w:numPr>
        <w:spacing w:before="60" w:after="60" w:line="240" w:lineRule="auto"/>
        <w:ind w:left="1620"/>
        <w:jc w:val="both"/>
        <w:rPr>
          <w:rFonts w:asciiTheme="minorHAnsi" w:hAnsiTheme="minorHAnsi" w:cstheme="minorHAnsi"/>
          <w:b/>
          <w:iCs/>
          <w:sz w:val="20"/>
          <w:szCs w:val="20"/>
          <w:lang w:val="es-EC"/>
        </w:rPr>
      </w:pPr>
      <w:r>
        <w:rPr>
          <w:rFonts w:asciiTheme="minorHAnsi" w:hAnsiTheme="minorHAnsi" w:cstheme="minorHAnsi"/>
          <w:b/>
          <w:sz w:val="20"/>
          <w:szCs w:val="20"/>
          <w:lang w:val="es-EC"/>
        </w:rPr>
        <w:t>Capacidad financiera</w:t>
      </w:r>
      <w:r>
        <w:rPr>
          <w:rFonts w:asciiTheme="minorHAnsi" w:hAnsiTheme="minorHAnsi" w:cstheme="minorHAnsi"/>
          <w:b/>
          <w:iCs/>
          <w:sz w:val="20"/>
          <w:szCs w:val="20"/>
          <w:lang w:val="es-EC"/>
        </w:rPr>
        <w:t xml:space="preserve">: </w:t>
      </w:r>
    </w:p>
    <w:p>
      <w:pPr>
        <w:spacing w:after="0"/>
        <w:ind w:left="720"/>
        <w:jc w:val="both"/>
        <w:rPr>
          <w:rFonts w:asciiTheme="minorHAnsi" w:hAnsiTheme="minorHAnsi" w:cstheme="minorHAnsi"/>
          <w:spacing w:val="-3"/>
          <w:sz w:val="20"/>
          <w:szCs w:val="20"/>
          <w:lang w:val="es-EC"/>
        </w:rPr>
      </w:pPr>
    </w:p>
    <w:p>
      <w:pPr>
        <w:spacing w:after="0"/>
        <w:ind w:left="720"/>
        <w:jc w:val="both"/>
        <w:rPr>
          <w:rFonts w:asciiTheme="minorHAnsi" w:hAnsiTheme="minorHAnsi" w:cstheme="minorHAnsi"/>
          <w:sz w:val="20"/>
          <w:szCs w:val="20"/>
          <w:lang w:val="es-EC"/>
        </w:rPr>
      </w:pPr>
      <w:r>
        <w:rPr>
          <w:rFonts w:asciiTheme="minorHAnsi" w:hAnsiTheme="minorHAnsi" w:cstheme="minorHAnsi"/>
          <w:sz w:val="20"/>
          <w:szCs w:val="20"/>
          <w:lang w:val="es-EC"/>
        </w:rPr>
        <w:t>El Oferente deberá proporcionar Copia de los Balances Generales y Estados de Pérdidas y Ganancias del último año (anterior a la fecha de presentación de las ofertas) o Impuesto a la Renta de igual período que demuestre su cumplimiento con los siguientes índices (información referencial).</w:t>
      </w:r>
    </w:p>
    <w:p>
      <w:pPr>
        <w:spacing w:after="0"/>
        <w:ind w:left="720"/>
        <w:jc w:val="both"/>
        <w:rPr>
          <w:rFonts w:asciiTheme="minorHAnsi" w:hAnsiTheme="minorHAnsi" w:cstheme="minorHAnsi"/>
          <w:sz w:val="20"/>
          <w:szCs w:val="20"/>
          <w:lang w:val="es-EC"/>
        </w:rPr>
      </w:pPr>
    </w:p>
    <w:p>
      <w:pPr>
        <w:spacing w:after="0"/>
        <w:ind w:left="2160"/>
        <w:jc w:val="both"/>
        <w:rPr>
          <w:rFonts w:asciiTheme="minorHAnsi" w:hAnsiTheme="minorHAnsi" w:cstheme="minorHAnsi"/>
          <w:sz w:val="20"/>
          <w:szCs w:val="20"/>
          <w:lang w:val="es-EC"/>
        </w:rPr>
      </w:pPr>
      <w:r>
        <w:rPr>
          <w:rFonts w:asciiTheme="minorHAnsi" w:hAnsiTheme="minorHAnsi" w:cstheme="minorHAnsi"/>
          <w:sz w:val="20"/>
          <w:szCs w:val="20"/>
          <w:lang w:val="es-EC"/>
        </w:rPr>
        <w:t>Índice de Solvencia: Activo Corriente / Pasivo Corriente (≥) 1,0</w:t>
      </w:r>
    </w:p>
    <w:p>
      <w:pPr>
        <w:spacing w:after="0"/>
        <w:ind w:left="2160"/>
        <w:jc w:val="both"/>
        <w:rPr>
          <w:rFonts w:asciiTheme="minorHAnsi" w:hAnsiTheme="minorHAnsi" w:cstheme="minorHAnsi"/>
          <w:sz w:val="20"/>
          <w:szCs w:val="20"/>
          <w:lang w:val="es-EC"/>
        </w:rPr>
      </w:pPr>
      <w:r>
        <w:rPr>
          <w:rFonts w:asciiTheme="minorHAnsi" w:hAnsiTheme="minorHAnsi" w:cstheme="minorHAnsi"/>
          <w:sz w:val="20"/>
          <w:szCs w:val="20"/>
          <w:lang w:val="es-EC"/>
        </w:rPr>
        <w:t>Índice Estructural: Patrimonio / Activo Total (≥) 0,3</w:t>
      </w:r>
    </w:p>
    <w:p>
      <w:pPr>
        <w:spacing w:after="0"/>
        <w:ind w:left="2160"/>
        <w:jc w:val="both"/>
        <w:rPr>
          <w:rFonts w:asciiTheme="minorHAnsi" w:hAnsiTheme="minorHAnsi" w:cstheme="minorHAnsi"/>
          <w:sz w:val="20"/>
          <w:szCs w:val="20"/>
          <w:lang w:val="es-EC"/>
        </w:rPr>
      </w:pPr>
      <w:r>
        <w:rPr>
          <w:rFonts w:asciiTheme="minorHAnsi" w:hAnsiTheme="minorHAnsi" w:cstheme="minorHAnsi"/>
          <w:sz w:val="20"/>
          <w:szCs w:val="20"/>
          <w:lang w:val="es-EC"/>
        </w:rPr>
        <w:t>Índice de Endeudamiento: Pasivo Total / Patrimonio (≤) 1,0</w:t>
      </w:r>
    </w:p>
    <w:p>
      <w:pPr>
        <w:spacing w:after="0"/>
        <w:jc w:val="both"/>
        <w:rPr>
          <w:rFonts w:asciiTheme="minorHAnsi" w:hAnsiTheme="minorHAnsi" w:cstheme="minorHAnsi"/>
          <w:sz w:val="20"/>
          <w:szCs w:val="20"/>
          <w:lang w:val="es-EC"/>
        </w:rPr>
      </w:pPr>
    </w:p>
    <w:p>
      <w:pPr>
        <w:jc w:val="both"/>
        <w:rPr>
          <w:rFonts w:asciiTheme="minorHAnsi" w:hAnsiTheme="minorHAnsi" w:cstheme="minorHAnsi"/>
          <w:spacing w:val="-3"/>
          <w:sz w:val="20"/>
          <w:szCs w:val="20"/>
          <w:lang w:val="es-EC"/>
        </w:rPr>
      </w:pPr>
      <w:r>
        <w:rPr>
          <w:rFonts w:asciiTheme="minorHAnsi" w:hAnsiTheme="minorHAnsi" w:cstheme="minorHAnsi"/>
          <w:spacing w:val="-3"/>
          <w:sz w:val="20"/>
          <w:szCs w:val="20"/>
          <w:lang w:val="es-EC"/>
        </w:rPr>
        <w:t>La evidencia documentada que se requiere es:</w:t>
      </w:r>
    </w:p>
    <w:p>
      <w:pPr>
        <w:numPr>
          <w:ilvl w:val="0"/>
          <w:numId w:val="85"/>
        </w:numPr>
        <w:jc w:val="both"/>
        <w:rPr>
          <w:rFonts w:asciiTheme="minorHAnsi" w:hAnsiTheme="minorHAnsi" w:cstheme="minorHAnsi"/>
          <w:sz w:val="20"/>
          <w:szCs w:val="20"/>
          <w:lang w:val="es-EC"/>
        </w:rPr>
      </w:pPr>
      <w:r>
        <w:rPr>
          <w:rFonts w:asciiTheme="minorHAnsi" w:hAnsiTheme="minorHAnsi" w:cstheme="minorHAnsi"/>
          <w:sz w:val="20"/>
          <w:szCs w:val="20"/>
          <w:lang w:val="es-EC"/>
        </w:rPr>
        <w:t>Copia simple del estado financiero, declaraciones, o documentación equivalente en el país de origen, presentados a la autoridad competente, o auditados independientemente. La documentación deberá venir denominada en dólares de los Estados Unidos de América. De estar denominados en otra moneda, incluirá la conversión a dólares de los Estados Unidos de América utilizando la tasa transaccional para la venta del tipo de cambio publicada en la página del Banco Central del Ecuador https://www.bce.fin.ec/index.php/component/k2/item/260-consulta-por-monedas-extranjeras, a la fecha del último día del ejercicio fiscal correspondiente.</w:t>
      </w:r>
    </w:p>
    <w:p>
      <w:pPr>
        <w:numPr>
          <w:ilvl w:val="0"/>
          <w:numId w:val="85"/>
        </w:numPr>
        <w:autoSpaceDE w:val="0"/>
        <w:autoSpaceDN w:val="0"/>
        <w:adjustRightInd w:val="0"/>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por la normativa del país de origen, los estados financieros, declaraciones o documentación equivalente no son exigibles a la fecha de presentación de ofertas, el oferente indicará esta situación y podrá presentar los estados financieros, declaraciones o documentación equivalente del ejercicio fiscal inmediato anterior. </w:t>
      </w:r>
    </w:p>
    <w:p>
      <w:pPr>
        <w:autoSpaceDE w:val="0"/>
        <w:autoSpaceDN w:val="0"/>
        <w:adjustRightInd w:val="0"/>
        <w:spacing w:after="0" w:line="240" w:lineRule="auto"/>
        <w:rPr>
          <w:rFonts w:asciiTheme="minorHAnsi" w:hAnsiTheme="minorHAnsi" w:cstheme="minorHAnsi"/>
          <w:sz w:val="20"/>
          <w:szCs w:val="20"/>
          <w:lang w:val="es-EC"/>
        </w:rPr>
      </w:pPr>
    </w:p>
    <w:p>
      <w:pPr>
        <w:numPr>
          <w:ilvl w:val="0"/>
          <w:numId w:val="86"/>
        </w:numPr>
        <w:autoSpaceDE w:val="0"/>
        <w:autoSpaceDN w:val="0"/>
        <w:adjustRightInd w:val="0"/>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En caso de compromisos de asociación o consorcio el análisis de los índices financieros se realizará a partir de la suma de los índices de cada uno de los partícipes.</w:t>
      </w:r>
    </w:p>
    <w:p>
      <w:pPr>
        <w:pStyle w:val="64"/>
        <w:spacing w:after="0" w:line="240" w:lineRule="auto"/>
        <w:jc w:val="both"/>
        <w:rPr>
          <w:rFonts w:asciiTheme="minorHAnsi" w:hAnsiTheme="minorHAnsi" w:cstheme="minorHAnsi"/>
          <w:sz w:val="20"/>
          <w:szCs w:val="20"/>
          <w:lang w:val="es-EC"/>
        </w:rPr>
      </w:pPr>
    </w:p>
    <w:p>
      <w:pPr>
        <w:suppressAutoHyphens/>
        <w:jc w:val="both"/>
        <w:rPr>
          <w:rFonts w:asciiTheme="minorHAnsi" w:hAnsiTheme="minorHAnsi" w:cstheme="minorHAnsi"/>
          <w:b/>
          <w:iCs/>
          <w:spacing w:val="-3"/>
          <w:sz w:val="20"/>
          <w:szCs w:val="20"/>
          <w:lang w:val="es-EC"/>
        </w:rPr>
      </w:pPr>
      <w:r>
        <w:rPr>
          <w:rFonts w:asciiTheme="minorHAnsi" w:hAnsiTheme="minorHAnsi" w:cstheme="minorHAnsi"/>
          <w:b/>
          <w:iCs/>
          <w:spacing w:val="-3"/>
          <w:sz w:val="20"/>
          <w:szCs w:val="20"/>
          <w:lang w:val="es-EC"/>
        </w:rPr>
        <w:t>ACTIVOS LÍQUIDOS.</w:t>
      </w:r>
    </w:p>
    <w:p>
      <w:pPr>
        <w:suppressAutoHyphens/>
        <w:jc w:val="both"/>
        <w:rPr>
          <w:rFonts w:asciiTheme="minorHAnsi" w:hAnsiTheme="minorHAnsi" w:cstheme="minorHAnsi"/>
          <w:iCs/>
          <w:spacing w:val="-3"/>
          <w:sz w:val="20"/>
          <w:szCs w:val="20"/>
          <w:lang w:val="es-EC"/>
        </w:rPr>
      </w:pPr>
      <w:r>
        <w:rPr>
          <w:rFonts w:asciiTheme="minorHAnsi" w:hAnsiTheme="minorHAnsi" w:cstheme="minorHAnsi"/>
          <w:iCs/>
          <w:spacing w:val="-3"/>
          <w:sz w:val="20"/>
          <w:szCs w:val="20"/>
          <w:lang w:val="es-EC"/>
        </w:rPr>
        <w:t>Monto mínimo de activos líquidos. El monto mínimo de activos líquidos y/o de acceso a créditos libres de otros compromisos contractuales del Oferente seleccionado deberá ser el valor que se acredite como experiencia específica por cada Lote.</w:t>
      </w:r>
    </w:p>
    <w:tbl>
      <w:tblPr>
        <w:tblStyle w:val="46"/>
        <w:tblW w:w="4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6" w:type="dxa"/>
            <w:shd w:val="clear" w:color="auto" w:fill="auto"/>
          </w:tcPr>
          <w:p>
            <w:pPr>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Lote 001</w:t>
            </w:r>
          </w:p>
        </w:tc>
        <w:tc>
          <w:tcPr>
            <w:tcW w:w="2693" w:type="dxa"/>
            <w:shd w:val="clear" w:color="auto" w:fill="auto"/>
          </w:tcPr>
          <w:p>
            <w:pPr>
              <w:spacing w:after="0" w:line="240" w:lineRule="auto"/>
              <w:jc w:val="right"/>
              <w:rPr>
                <w:rFonts w:asciiTheme="minorHAnsi" w:hAnsiTheme="minorHAnsi" w:cstheme="minorHAnsi"/>
                <w:sz w:val="20"/>
                <w:szCs w:val="20"/>
                <w:lang w:val="es-EC"/>
              </w:rPr>
            </w:pPr>
            <w:r>
              <w:rPr>
                <w:rFonts w:asciiTheme="minorHAnsi" w:hAnsiTheme="minorHAnsi" w:cstheme="minorHAnsi"/>
                <w:sz w:val="20"/>
                <w:szCs w:val="20"/>
                <w:lang w:val="es-EC"/>
              </w:rPr>
              <w:t>$ 603.360,00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6" w:type="dxa"/>
            <w:shd w:val="clear" w:color="auto" w:fill="auto"/>
          </w:tcPr>
          <w:p>
            <w:pPr>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Lote 002</w:t>
            </w:r>
          </w:p>
        </w:tc>
        <w:tc>
          <w:tcPr>
            <w:tcW w:w="2693" w:type="dxa"/>
            <w:shd w:val="clear" w:color="auto" w:fill="auto"/>
          </w:tcPr>
          <w:p>
            <w:pPr>
              <w:spacing w:after="0" w:line="240" w:lineRule="auto"/>
              <w:jc w:val="right"/>
              <w:rPr>
                <w:rFonts w:asciiTheme="minorHAnsi" w:hAnsiTheme="minorHAnsi" w:cstheme="minorHAnsi"/>
                <w:sz w:val="20"/>
                <w:szCs w:val="20"/>
                <w:lang w:val="es-EC"/>
              </w:rPr>
            </w:pPr>
            <w:r>
              <w:rPr>
                <w:rFonts w:asciiTheme="minorHAnsi" w:hAnsiTheme="minorHAnsi" w:cstheme="minorHAnsi"/>
                <w:sz w:val="20"/>
                <w:szCs w:val="20"/>
                <w:lang w:val="es-EC"/>
              </w:rPr>
              <w:t>$ 1´465.072,70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6" w:type="dxa"/>
            <w:shd w:val="clear" w:color="auto" w:fill="auto"/>
          </w:tcPr>
          <w:p>
            <w:pPr>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Lote 003</w:t>
            </w:r>
          </w:p>
        </w:tc>
        <w:tc>
          <w:tcPr>
            <w:tcW w:w="2693" w:type="dxa"/>
            <w:shd w:val="clear" w:color="auto" w:fill="auto"/>
          </w:tcPr>
          <w:p>
            <w:pPr>
              <w:spacing w:after="0" w:line="240" w:lineRule="auto"/>
              <w:jc w:val="right"/>
              <w:rPr>
                <w:rFonts w:asciiTheme="minorHAnsi" w:hAnsiTheme="minorHAnsi" w:cstheme="minorHAnsi"/>
                <w:sz w:val="20"/>
                <w:szCs w:val="20"/>
                <w:lang w:val="es-EC"/>
              </w:rPr>
            </w:pPr>
            <w:r>
              <w:rPr>
                <w:rFonts w:asciiTheme="minorHAnsi" w:hAnsiTheme="minorHAnsi" w:cstheme="minorHAnsi"/>
                <w:sz w:val="20"/>
                <w:szCs w:val="20"/>
                <w:lang w:val="es-EC"/>
              </w:rPr>
              <w:t>$ 1´239.000,00</w:t>
            </w:r>
          </w:p>
        </w:tc>
      </w:tr>
    </w:tbl>
    <w:p>
      <w:pPr>
        <w:suppressAutoHyphens/>
        <w:jc w:val="both"/>
        <w:rPr>
          <w:rFonts w:asciiTheme="minorHAnsi" w:hAnsiTheme="minorHAnsi" w:cstheme="minorHAnsi"/>
          <w:iCs/>
          <w:spacing w:val="-3"/>
          <w:sz w:val="20"/>
          <w:szCs w:val="20"/>
          <w:lang w:val="es-EC"/>
        </w:rPr>
      </w:pPr>
    </w:p>
    <w:p>
      <w:pPr>
        <w:suppressAutoHyphens/>
        <w:jc w:val="both"/>
        <w:rPr>
          <w:rFonts w:asciiTheme="minorHAnsi" w:hAnsiTheme="minorHAnsi" w:cstheme="minorHAnsi"/>
          <w:iCs/>
          <w:spacing w:val="-3"/>
          <w:sz w:val="20"/>
          <w:szCs w:val="20"/>
          <w:lang w:val="es-EC"/>
        </w:rPr>
      </w:pPr>
      <w:r>
        <w:rPr>
          <w:rFonts w:asciiTheme="minorHAnsi" w:hAnsiTheme="minorHAnsi" w:cstheme="minorHAnsi"/>
          <w:iCs/>
          <w:spacing w:val="-3"/>
          <w:sz w:val="20"/>
          <w:szCs w:val="20"/>
          <w:lang w:val="es-EC"/>
        </w:rPr>
        <w:t>Para demostrar que tiene acceso a recursos financieros, o que dispone de ellos, tales como activos líquidos, líneas de crédito y otros medios financieros, que no sean pagos contractuales anticipados deberá acompañar la pertinente documentación de respaldo.</w:t>
      </w:r>
    </w:p>
    <w:p>
      <w:pPr>
        <w:suppressAutoHyphens/>
        <w:jc w:val="both"/>
        <w:rPr>
          <w:rFonts w:asciiTheme="minorHAnsi" w:hAnsiTheme="minorHAnsi" w:cstheme="minorHAnsi"/>
          <w:iCs/>
          <w:spacing w:val="-3"/>
          <w:sz w:val="20"/>
          <w:szCs w:val="20"/>
          <w:lang w:val="es-EC"/>
        </w:rPr>
      </w:pPr>
      <w:r>
        <w:rPr>
          <w:rFonts w:asciiTheme="minorHAnsi" w:hAnsiTheme="minorHAnsi" w:cstheme="minorHAnsi"/>
          <w:iCs/>
          <w:spacing w:val="-3"/>
          <w:sz w:val="20"/>
          <w:szCs w:val="20"/>
          <w:lang w:val="es-EC"/>
        </w:rPr>
        <w:t>Los documentos de soporte a presentar podrán consistir en:</w:t>
      </w:r>
    </w:p>
    <w:p>
      <w:pPr>
        <w:suppressAutoHyphens/>
        <w:jc w:val="both"/>
        <w:rPr>
          <w:rFonts w:asciiTheme="minorHAnsi" w:hAnsiTheme="minorHAnsi" w:cstheme="minorHAnsi"/>
          <w:iCs/>
          <w:spacing w:val="-3"/>
          <w:sz w:val="20"/>
          <w:szCs w:val="20"/>
          <w:lang w:val="es-EC"/>
        </w:rPr>
      </w:pPr>
      <w:r>
        <w:rPr>
          <w:rFonts w:asciiTheme="minorHAnsi" w:hAnsiTheme="minorHAnsi" w:cstheme="minorHAnsi"/>
          <w:iCs/>
          <w:spacing w:val="-3"/>
          <w:sz w:val="20"/>
          <w:szCs w:val="20"/>
          <w:lang w:val="es-EC"/>
        </w:rPr>
        <w:t>-</w:t>
      </w:r>
      <w:r>
        <w:rPr>
          <w:rFonts w:asciiTheme="minorHAnsi" w:hAnsiTheme="minorHAnsi" w:cstheme="minorHAnsi"/>
          <w:iCs/>
          <w:spacing w:val="-3"/>
          <w:sz w:val="20"/>
          <w:szCs w:val="20"/>
          <w:lang w:val="es-EC"/>
        </w:rPr>
        <w:tab/>
      </w:r>
      <w:r>
        <w:rPr>
          <w:rFonts w:asciiTheme="minorHAnsi" w:hAnsiTheme="minorHAnsi" w:cstheme="minorHAnsi"/>
          <w:iCs/>
          <w:spacing w:val="-3"/>
          <w:sz w:val="20"/>
          <w:szCs w:val="20"/>
          <w:lang w:val="es-EC"/>
        </w:rPr>
        <w:t>Efectivo en banco: con certificación bancaria; o</w:t>
      </w:r>
    </w:p>
    <w:p>
      <w:pPr>
        <w:suppressAutoHyphens/>
        <w:jc w:val="both"/>
        <w:rPr>
          <w:rFonts w:asciiTheme="minorHAnsi" w:hAnsiTheme="minorHAnsi" w:cstheme="minorHAnsi"/>
          <w:iCs/>
          <w:spacing w:val="-3"/>
          <w:sz w:val="20"/>
          <w:szCs w:val="20"/>
          <w:lang w:val="es-EC"/>
        </w:rPr>
      </w:pPr>
      <w:r>
        <w:rPr>
          <w:rFonts w:asciiTheme="minorHAnsi" w:hAnsiTheme="minorHAnsi" w:cstheme="minorHAnsi"/>
          <w:iCs/>
          <w:spacing w:val="-3"/>
          <w:sz w:val="20"/>
          <w:szCs w:val="20"/>
          <w:lang w:val="es-EC"/>
        </w:rPr>
        <w:t>-</w:t>
      </w:r>
      <w:r>
        <w:rPr>
          <w:rFonts w:asciiTheme="minorHAnsi" w:hAnsiTheme="minorHAnsi" w:cstheme="minorHAnsi"/>
          <w:iCs/>
          <w:spacing w:val="-3"/>
          <w:sz w:val="20"/>
          <w:szCs w:val="20"/>
          <w:lang w:val="es-EC"/>
        </w:rPr>
        <w:tab/>
      </w:r>
      <w:r>
        <w:rPr>
          <w:rFonts w:asciiTheme="minorHAnsi" w:hAnsiTheme="minorHAnsi" w:cstheme="minorHAnsi"/>
          <w:iCs/>
          <w:spacing w:val="-3"/>
          <w:sz w:val="20"/>
          <w:szCs w:val="20"/>
          <w:lang w:val="es-EC"/>
        </w:rPr>
        <w:t xml:space="preserve">Inversiones corrientes: con las copias de los correspondientes certificados de tenencia y valor de cotización; o </w:t>
      </w:r>
    </w:p>
    <w:p>
      <w:pPr>
        <w:suppressAutoHyphens/>
        <w:jc w:val="both"/>
        <w:rPr>
          <w:rFonts w:asciiTheme="minorHAnsi" w:hAnsiTheme="minorHAnsi" w:cstheme="minorHAnsi"/>
          <w:iCs/>
          <w:spacing w:val="-3"/>
          <w:sz w:val="20"/>
          <w:szCs w:val="20"/>
          <w:lang w:val="es-EC"/>
        </w:rPr>
      </w:pPr>
      <w:r>
        <w:rPr>
          <w:rFonts w:asciiTheme="minorHAnsi" w:hAnsiTheme="minorHAnsi" w:cstheme="minorHAnsi"/>
          <w:iCs/>
          <w:spacing w:val="-3"/>
          <w:sz w:val="20"/>
          <w:szCs w:val="20"/>
          <w:lang w:val="es-EC"/>
        </w:rPr>
        <w:t>-</w:t>
      </w:r>
      <w:r>
        <w:rPr>
          <w:rFonts w:asciiTheme="minorHAnsi" w:hAnsiTheme="minorHAnsi" w:cstheme="minorHAnsi"/>
          <w:iCs/>
          <w:spacing w:val="-3"/>
          <w:sz w:val="20"/>
          <w:szCs w:val="20"/>
          <w:lang w:val="es-EC"/>
        </w:rPr>
        <w:tab/>
      </w:r>
      <w:r>
        <w:rPr>
          <w:rFonts w:asciiTheme="minorHAnsi" w:hAnsiTheme="minorHAnsi" w:cstheme="minorHAnsi"/>
          <w:iCs/>
          <w:spacing w:val="-3"/>
          <w:sz w:val="20"/>
          <w:szCs w:val="20"/>
          <w:lang w:val="es-EC"/>
        </w:rPr>
        <w:t>Acreditación de acceso al crédito: carta con firma del responsable de entidad bancaria; o</w:t>
      </w:r>
    </w:p>
    <w:p>
      <w:pPr>
        <w:suppressAutoHyphens/>
        <w:ind w:left="709" w:hanging="709"/>
        <w:jc w:val="both"/>
        <w:rPr>
          <w:rFonts w:asciiTheme="minorHAnsi" w:hAnsiTheme="minorHAnsi" w:cstheme="minorHAnsi"/>
          <w:iCs/>
          <w:spacing w:val="-3"/>
          <w:sz w:val="20"/>
          <w:szCs w:val="20"/>
          <w:lang w:val="es-EC"/>
        </w:rPr>
      </w:pPr>
      <w:r>
        <w:rPr>
          <w:rFonts w:asciiTheme="minorHAnsi" w:hAnsiTheme="minorHAnsi" w:cstheme="minorHAnsi"/>
          <w:iCs/>
          <w:spacing w:val="-3"/>
          <w:sz w:val="20"/>
          <w:szCs w:val="20"/>
          <w:lang w:val="es-EC"/>
        </w:rPr>
        <w:t>-</w:t>
      </w:r>
      <w:r>
        <w:rPr>
          <w:rFonts w:asciiTheme="minorHAnsi" w:hAnsiTheme="minorHAnsi" w:cstheme="minorHAnsi"/>
          <w:iCs/>
          <w:spacing w:val="-3"/>
          <w:sz w:val="20"/>
          <w:szCs w:val="20"/>
          <w:lang w:val="es-EC"/>
        </w:rPr>
        <w:tab/>
      </w:r>
      <w:r>
        <w:rPr>
          <w:rFonts w:asciiTheme="minorHAnsi" w:hAnsiTheme="minorHAnsi" w:cstheme="minorHAnsi"/>
          <w:iCs/>
          <w:spacing w:val="-3"/>
          <w:sz w:val="20"/>
          <w:szCs w:val="20"/>
          <w:lang w:val="es-EC"/>
        </w:rPr>
        <w:t>El valor correspondiente a activos líquidos y líneas de crédito se obtendrán mediante el detalle de la fuente de liquidez que se indique y los documentos que lo certifiquen, tales como certificaciones de banco o entidades financieras.</w:t>
      </w:r>
    </w:p>
    <w:p>
      <w:pPr>
        <w:pStyle w:val="64"/>
        <w:spacing w:after="0" w:line="240" w:lineRule="auto"/>
        <w:ind w:hanging="720"/>
        <w:jc w:val="both"/>
        <w:rPr>
          <w:rFonts w:asciiTheme="minorHAnsi" w:hAnsiTheme="minorHAnsi" w:cstheme="minorHAnsi"/>
          <w:sz w:val="20"/>
          <w:szCs w:val="20"/>
          <w:lang w:val="es-EC"/>
        </w:rPr>
      </w:pPr>
      <w:r>
        <w:rPr>
          <w:rFonts w:asciiTheme="minorHAnsi" w:hAnsiTheme="minorHAnsi" w:cstheme="minorHAnsi"/>
          <w:spacing w:val="-3"/>
          <w:sz w:val="20"/>
          <w:szCs w:val="20"/>
          <w:lang w:val="es-EC"/>
        </w:rPr>
        <w:t xml:space="preserve">- </w:t>
      </w:r>
      <w:r>
        <w:rPr>
          <w:rFonts w:asciiTheme="minorHAnsi" w:hAnsiTheme="minorHAnsi" w:cstheme="minorHAnsi"/>
          <w:spacing w:val="-3"/>
          <w:sz w:val="20"/>
          <w:szCs w:val="20"/>
          <w:lang w:val="es-ES"/>
        </w:rPr>
        <w:t>Las certificaciones bancarias o de entidades financieras requeridas deberán ser emitidas con corte al último día del mes anterior a la presentación de la oferta.</w:t>
      </w:r>
    </w:p>
    <w:p>
      <w:pPr>
        <w:pStyle w:val="64"/>
        <w:spacing w:after="0" w:line="240" w:lineRule="auto"/>
        <w:jc w:val="both"/>
        <w:rPr>
          <w:rFonts w:asciiTheme="minorHAnsi" w:hAnsiTheme="minorHAnsi" w:cstheme="minorHAnsi"/>
          <w:sz w:val="20"/>
          <w:szCs w:val="20"/>
          <w:lang w:val="es-EC"/>
        </w:rPr>
      </w:pPr>
    </w:p>
    <w:p>
      <w:pPr>
        <w:spacing w:before="60" w:after="60" w:line="240" w:lineRule="auto"/>
        <w:ind w:firstLine="720"/>
        <w:jc w:val="both"/>
        <w:rPr>
          <w:rFonts w:asciiTheme="minorHAnsi" w:hAnsiTheme="minorHAnsi" w:cstheme="minorHAnsi"/>
          <w:b/>
          <w:sz w:val="20"/>
          <w:szCs w:val="20"/>
          <w:lang w:val="es-EC"/>
        </w:rPr>
      </w:pPr>
      <w:r>
        <w:rPr>
          <w:rFonts w:asciiTheme="minorHAnsi" w:hAnsiTheme="minorHAnsi" w:cstheme="minorHAnsi"/>
          <w:b/>
          <w:sz w:val="20"/>
          <w:szCs w:val="20"/>
          <w:lang w:val="es-EC"/>
        </w:rPr>
        <w:t xml:space="preserve">(b) Experiencia y capacidad técnica: </w:t>
      </w:r>
    </w:p>
    <w:p>
      <w:pPr>
        <w:rPr>
          <w:rFonts w:asciiTheme="minorHAnsi" w:hAnsiTheme="minorHAnsi" w:cstheme="minorHAnsi"/>
          <w:sz w:val="20"/>
          <w:szCs w:val="20"/>
          <w:lang w:val="es-EC"/>
        </w:rPr>
      </w:pPr>
    </w:p>
    <w:p>
      <w:pPr>
        <w:pStyle w:val="3"/>
        <w:rPr>
          <w:rFonts w:eastAsia="Calibri" w:asciiTheme="minorHAnsi" w:hAnsiTheme="minorHAnsi" w:cstheme="minorHAnsi"/>
          <w:bCs w:val="0"/>
          <w:color w:val="auto"/>
          <w:sz w:val="20"/>
          <w:szCs w:val="20"/>
          <w:u w:val="single"/>
          <w:lang w:val="es-EC"/>
        </w:rPr>
      </w:pPr>
      <w:bookmarkStart w:id="298" w:name="_Toc484417206"/>
      <w:r>
        <w:rPr>
          <w:rFonts w:eastAsia="Calibri" w:asciiTheme="minorHAnsi" w:hAnsiTheme="minorHAnsi" w:cstheme="minorHAnsi"/>
          <w:bCs w:val="0"/>
          <w:color w:val="auto"/>
          <w:sz w:val="20"/>
          <w:szCs w:val="20"/>
          <w:u w:val="single"/>
          <w:lang w:val="es-EC"/>
        </w:rPr>
        <w:t xml:space="preserve">Experiencia específica </w:t>
      </w:r>
      <w:bookmarkEnd w:id="298"/>
    </w:p>
    <w:p>
      <w:pPr>
        <w:rPr>
          <w:rFonts w:asciiTheme="minorHAnsi" w:hAnsiTheme="minorHAnsi" w:cstheme="minorHAnsi"/>
          <w:sz w:val="20"/>
          <w:szCs w:val="20"/>
          <w:lang w:val="es-EC"/>
        </w:rPr>
      </w:pPr>
    </w:p>
    <w:p>
      <w:pPr>
        <w:rPr>
          <w:rFonts w:asciiTheme="minorHAnsi" w:hAnsiTheme="minorHAnsi" w:cstheme="minorHAnsi"/>
          <w:sz w:val="20"/>
          <w:szCs w:val="20"/>
          <w:lang w:val="es-EC"/>
        </w:rPr>
      </w:pPr>
      <w:r>
        <w:rPr>
          <w:rFonts w:asciiTheme="minorHAnsi" w:hAnsiTheme="minorHAnsi" w:cstheme="minorHAnsi"/>
          <w:sz w:val="20"/>
          <w:szCs w:val="20"/>
          <w:lang w:val="es-EC"/>
        </w:rPr>
        <w:t>Descripción:</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El Oferente deberá acreditar experiencia específica en la comercialización, distribución y/o fabricación de equipos médicos (</w:t>
      </w:r>
      <w:r>
        <w:rPr>
          <w:rFonts w:asciiTheme="minorHAnsi" w:hAnsiTheme="minorHAnsi" w:cstheme="minorHAnsi"/>
          <w:sz w:val="20"/>
          <w:szCs w:val="20"/>
          <w:lang w:val="es-EC" w:eastAsia="hi-IN" w:bidi="hi-IN"/>
        </w:rPr>
        <w:t>neonatología o similares tales como Quirófano y/o UCI</w:t>
      </w:r>
      <w:r>
        <w:rPr>
          <w:rFonts w:asciiTheme="minorHAnsi" w:hAnsiTheme="minorHAnsi" w:cstheme="minorHAnsi"/>
          <w:sz w:val="20"/>
          <w:szCs w:val="20"/>
          <w:lang w:val="es-EC"/>
        </w:rPr>
        <w:t xml:space="preserve">), a través de la presentación de actas de entrega recepción definitiva o facturas suscritas con instituciones públicas o privadas a nivel nacional o internacional. </w:t>
      </w:r>
    </w:p>
    <w:p>
      <w:pPr>
        <w:spacing w:after="0" w:line="240" w:lineRule="auto"/>
        <w:ind w:left="720"/>
        <w:jc w:val="both"/>
        <w:rPr>
          <w:rFonts w:asciiTheme="minorHAnsi" w:hAnsiTheme="minorHAnsi" w:cstheme="minorHAnsi"/>
          <w:sz w:val="20"/>
          <w:szCs w:val="20"/>
          <w:lang w:val="es-EC"/>
        </w:rPr>
      </w:pPr>
    </w:p>
    <w:p>
      <w:pPr>
        <w:spacing w:after="0" w:line="240" w:lineRule="auto"/>
        <w:ind w:left="720"/>
        <w:jc w:val="both"/>
        <w:rPr>
          <w:rFonts w:asciiTheme="minorHAnsi" w:hAnsiTheme="minorHAnsi" w:cstheme="minorHAnsi"/>
          <w:sz w:val="20"/>
          <w:szCs w:val="20"/>
          <w:lang w:val="es-EC"/>
        </w:rPr>
      </w:pPr>
      <w:r>
        <w:rPr>
          <w:rFonts w:asciiTheme="minorHAnsi" w:hAnsiTheme="minorHAnsi" w:cstheme="minorHAnsi"/>
          <w:sz w:val="20"/>
          <w:szCs w:val="20"/>
          <w:u w:val="single"/>
          <w:lang w:val="es-EC"/>
        </w:rPr>
        <w:t>Experiencia adquirida mínima</w:t>
      </w:r>
      <w:r>
        <w:rPr>
          <w:rFonts w:asciiTheme="minorHAnsi" w:hAnsiTheme="minorHAnsi" w:cstheme="minorHAnsi"/>
          <w:sz w:val="20"/>
          <w:szCs w:val="20"/>
          <w:lang w:val="es-EC"/>
        </w:rPr>
        <w:t>: dentro de los últimos cinco (5) años anteriores a la fecha de la publicación del proceso.</w:t>
      </w:r>
    </w:p>
    <w:p>
      <w:pPr>
        <w:spacing w:after="0" w:line="240" w:lineRule="auto"/>
        <w:ind w:left="720"/>
        <w:jc w:val="both"/>
        <w:rPr>
          <w:rFonts w:asciiTheme="minorHAnsi" w:hAnsiTheme="minorHAnsi" w:cstheme="minorHAnsi"/>
          <w:sz w:val="20"/>
          <w:szCs w:val="20"/>
          <w:lang w:val="es-EC"/>
        </w:rPr>
      </w:pPr>
    </w:p>
    <w:p>
      <w:pPr>
        <w:spacing w:after="0" w:line="240" w:lineRule="auto"/>
        <w:ind w:left="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Valor del monto mínimo en la venta de equipo médico para cada lote interesado en ofertar será de: </w:t>
      </w:r>
    </w:p>
    <w:p>
      <w:pPr>
        <w:spacing w:after="0" w:line="240" w:lineRule="auto"/>
        <w:ind w:left="720"/>
        <w:jc w:val="both"/>
        <w:rPr>
          <w:rFonts w:asciiTheme="minorHAnsi" w:hAnsiTheme="minorHAnsi" w:cstheme="minorHAnsi"/>
          <w:sz w:val="20"/>
          <w:szCs w:val="20"/>
          <w:lang w:val="es-EC"/>
        </w:rPr>
      </w:pPr>
    </w:p>
    <w:tbl>
      <w:tblPr>
        <w:tblStyle w:val="46"/>
        <w:tblW w:w="4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6" w:type="dxa"/>
            <w:shd w:val="clear" w:color="auto" w:fill="auto"/>
          </w:tcPr>
          <w:p>
            <w:pPr>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Lote 001</w:t>
            </w:r>
          </w:p>
        </w:tc>
        <w:tc>
          <w:tcPr>
            <w:tcW w:w="2693" w:type="dxa"/>
            <w:shd w:val="clear" w:color="auto" w:fill="auto"/>
          </w:tcPr>
          <w:p>
            <w:pPr>
              <w:spacing w:after="0" w:line="240" w:lineRule="auto"/>
              <w:jc w:val="right"/>
              <w:rPr>
                <w:rFonts w:asciiTheme="minorHAnsi" w:hAnsiTheme="minorHAnsi" w:cstheme="minorHAnsi"/>
                <w:sz w:val="20"/>
                <w:szCs w:val="20"/>
                <w:lang w:val="es-EC"/>
              </w:rPr>
            </w:pPr>
            <w:r>
              <w:rPr>
                <w:rFonts w:asciiTheme="minorHAnsi" w:hAnsiTheme="minorHAnsi" w:cstheme="minorHAnsi"/>
                <w:sz w:val="20"/>
                <w:szCs w:val="20"/>
                <w:lang w:val="es-EC"/>
              </w:rPr>
              <w:t>$ 603.360,00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6" w:type="dxa"/>
            <w:shd w:val="clear" w:color="auto" w:fill="auto"/>
          </w:tcPr>
          <w:p>
            <w:pPr>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Lote 002</w:t>
            </w:r>
          </w:p>
        </w:tc>
        <w:tc>
          <w:tcPr>
            <w:tcW w:w="2693" w:type="dxa"/>
            <w:shd w:val="clear" w:color="auto" w:fill="auto"/>
          </w:tcPr>
          <w:p>
            <w:pPr>
              <w:spacing w:after="0" w:line="240" w:lineRule="auto"/>
              <w:jc w:val="right"/>
              <w:rPr>
                <w:rFonts w:asciiTheme="minorHAnsi" w:hAnsiTheme="minorHAnsi" w:cstheme="minorHAnsi"/>
                <w:sz w:val="20"/>
                <w:szCs w:val="20"/>
                <w:lang w:val="es-EC"/>
              </w:rPr>
            </w:pPr>
            <w:r>
              <w:rPr>
                <w:rFonts w:asciiTheme="minorHAnsi" w:hAnsiTheme="minorHAnsi" w:cstheme="minorHAnsi"/>
                <w:sz w:val="20"/>
                <w:szCs w:val="20"/>
                <w:lang w:val="es-EC"/>
              </w:rPr>
              <w:t>$ 1´465.072,70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6" w:type="dxa"/>
            <w:shd w:val="clear" w:color="auto" w:fill="auto"/>
          </w:tcPr>
          <w:p>
            <w:pPr>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Lote 003</w:t>
            </w:r>
          </w:p>
        </w:tc>
        <w:tc>
          <w:tcPr>
            <w:tcW w:w="2693" w:type="dxa"/>
            <w:shd w:val="clear" w:color="auto" w:fill="auto"/>
          </w:tcPr>
          <w:p>
            <w:pPr>
              <w:spacing w:after="0" w:line="240" w:lineRule="auto"/>
              <w:jc w:val="right"/>
              <w:rPr>
                <w:rFonts w:asciiTheme="minorHAnsi" w:hAnsiTheme="minorHAnsi" w:cstheme="minorHAnsi"/>
                <w:sz w:val="20"/>
                <w:szCs w:val="20"/>
                <w:lang w:val="es-EC"/>
              </w:rPr>
            </w:pPr>
            <w:r>
              <w:rPr>
                <w:rFonts w:asciiTheme="minorHAnsi" w:hAnsiTheme="minorHAnsi" w:cstheme="minorHAnsi"/>
                <w:sz w:val="20"/>
                <w:szCs w:val="20"/>
                <w:lang w:val="es-EC"/>
              </w:rPr>
              <w:t>$ 1´239.000,00</w:t>
            </w:r>
          </w:p>
        </w:tc>
      </w:tr>
    </w:tbl>
    <w:p>
      <w:pPr>
        <w:spacing w:after="0" w:line="240" w:lineRule="auto"/>
        <w:ind w:left="720"/>
        <w:jc w:val="both"/>
        <w:rPr>
          <w:rFonts w:asciiTheme="minorHAnsi" w:hAnsiTheme="minorHAnsi" w:cstheme="minorHAnsi"/>
          <w:sz w:val="20"/>
          <w:szCs w:val="20"/>
          <w:lang w:val="es-EC"/>
        </w:rPr>
      </w:pPr>
    </w:p>
    <w:p>
      <w:pPr>
        <w:jc w:val="both"/>
        <w:rPr>
          <w:rFonts w:asciiTheme="minorHAnsi" w:hAnsiTheme="minorHAnsi" w:cstheme="minorHAnsi"/>
          <w:sz w:val="20"/>
          <w:szCs w:val="20"/>
          <w:lang w:val="es-EC" w:eastAsia="hi-IN" w:bidi="hi-IN"/>
        </w:rPr>
      </w:pPr>
      <w:r>
        <w:rPr>
          <w:rFonts w:asciiTheme="minorHAnsi" w:hAnsiTheme="minorHAnsi" w:cstheme="minorHAnsi"/>
          <w:b/>
          <w:sz w:val="20"/>
          <w:szCs w:val="20"/>
          <w:lang w:val="es-EC"/>
        </w:rPr>
        <w:t>•Verificación de experiencia:</w:t>
      </w:r>
      <w:r>
        <w:rPr>
          <w:rFonts w:asciiTheme="minorHAnsi" w:hAnsiTheme="minorHAnsi" w:cstheme="minorHAnsi"/>
          <w:sz w:val="20"/>
          <w:szCs w:val="20"/>
          <w:lang w:val="es-EC" w:eastAsia="hi-IN" w:bidi="hi-IN"/>
        </w:rPr>
        <w:t xml:space="preserve"> mínimo (03) tres actas de entrega recepción definitivas o facturas por la venta de equipos médicos de neonatología o similares tales como Quirófano y/o UCI (no se validará contratos de ventas de insumos o dispositivos), por un monto sumado igual o superior al indicado en el párrafo anterior para cada lote interesado en ofertar. La experiencia no podrá ser duplicada en más de dos lotes.</w:t>
      </w:r>
    </w:p>
    <w:p>
      <w:pPr>
        <w:autoSpaceDE w:val="0"/>
        <w:autoSpaceDN w:val="0"/>
        <w:adjustRightInd w:val="0"/>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 experiencia que se requiere podrá haberse obtenido en forma individual o bien por una APCA. En el supuesto de presentar el Oferente experiencia en los cuales haya participado asociado con otras empresas en una APCA, la experiencia de cada integrante de la APCA será tomada sobre la efectiva participación porcentual, para lo cual deberá adjuntar el documento de constitución de APCA en el que se evidencie su porcentaje de participación. </w:t>
      </w:r>
    </w:p>
    <w:p>
      <w:pPr>
        <w:autoSpaceDE w:val="0"/>
        <w:autoSpaceDN w:val="0"/>
        <w:adjustRightInd w:val="0"/>
        <w:spacing w:after="0" w:line="240" w:lineRule="auto"/>
        <w:ind w:left="1800"/>
        <w:jc w:val="both"/>
        <w:rPr>
          <w:rFonts w:asciiTheme="minorHAnsi" w:hAnsiTheme="minorHAnsi" w:cstheme="minorHAnsi"/>
          <w:sz w:val="20"/>
          <w:szCs w:val="20"/>
          <w:lang w:val="es-EC"/>
        </w:rPr>
      </w:pPr>
    </w:p>
    <w:p>
      <w:pPr>
        <w:widowControl w:val="0"/>
        <w:autoSpaceDE w:val="0"/>
        <w:autoSpaceDN w:val="0"/>
        <w:adjustRightInd w:val="0"/>
        <w:spacing w:after="0" w:line="240" w:lineRule="auto"/>
        <w:ind w:right="78"/>
        <w:jc w:val="both"/>
        <w:rPr>
          <w:rFonts w:asciiTheme="minorHAnsi" w:hAnsiTheme="minorHAnsi" w:cstheme="minorHAnsi"/>
          <w:sz w:val="20"/>
          <w:szCs w:val="20"/>
          <w:lang w:val="es-EC"/>
        </w:rPr>
      </w:pPr>
      <w:r>
        <w:rPr>
          <w:rFonts w:asciiTheme="minorHAnsi" w:hAnsiTheme="minorHAnsi" w:cstheme="minorHAnsi"/>
          <w:sz w:val="20"/>
          <w:szCs w:val="20"/>
          <w:lang w:val="es-EC"/>
        </w:rPr>
        <w:t>En el caso de que la información presentada se encontrare en moneda diferente al Dólar Estadounidense, deberá acompañarse la conversión de los valores resultantes del mismo a Dólar Estadounidense, tomando como base el tipo de cambio del Banco Central del Ecuador vigente a la fecha de presentación de las ofertas.</w:t>
      </w:r>
    </w:p>
    <w:p>
      <w:pPr>
        <w:widowControl w:val="0"/>
        <w:autoSpaceDE w:val="0"/>
        <w:autoSpaceDN w:val="0"/>
        <w:adjustRightInd w:val="0"/>
        <w:spacing w:after="0" w:line="240" w:lineRule="auto"/>
        <w:ind w:right="78"/>
        <w:jc w:val="both"/>
        <w:rPr>
          <w:rFonts w:asciiTheme="minorHAnsi" w:hAnsiTheme="minorHAnsi" w:cstheme="minorHAnsi"/>
          <w:sz w:val="20"/>
          <w:szCs w:val="20"/>
          <w:lang w:val="es-EC"/>
        </w:rPr>
      </w:pPr>
    </w:p>
    <w:p>
      <w:pPr>
        <w:widowControl w:val="0"/>
        <w:autoSpaceDE w:val="0"/>
        <w:autoSpaceDN w:val="0"/>
        <w:adjustRightInd w:val="0"/>
        <w:spacing w:after="0" w:line="240" w:lineRule="auto"/>
        <w:ind w:right="78"/>
        <w:jc w:val="both"/>
        <w:rPr>
          <w:rFonts w:asciiTheme="minorHAnsi" w:hAnsiTheme="minorHAnsi" w:cstheme="minorHAnsi"/>
          <w:sz w:val="20"/>
          <w:szCs w:val="20"/>
          <w:lang w:val="es-EC"/>
        </w:rPr>
      </w:pPr>
      <w:r>
        <w:rPr>
          <w:rFonts w:asciiTheme="minorHAnsi" w:hAnsiTheme="minorHAnsi" w:cstheme="minorHAnsi"/>
          <w:sz w:val="20"/>
          <w:szCs w:val="20"/>
          <w:lang w:val="es-EC"/>
        </w:rPr>
        <w:t>Para el caso de APCA, la verificación de la experiencia a ser presentada, se obtendrá de la suma de los documentos que acrediten la experiencia por cada uno de sus integrantes.</w:t>
      </w:r>
    </w:p>
    <w:p>
      <w:pPr>
        <w:spacing w:after="0" w:line="240" w:lineRule="auto"/>
        <w:jc w:val="both"/>
        <w:rPr>
          <w:rFonts w:asciiTheme="minorHAnsi" w:hAnsiTheme="minorHAnsi" w:cstheme="minorHAnsi"/>
          <w:sz w:val="20"/>
          <w:szCs w:val="20"/>
          <w:lang w:val="es-EC"/>
        </w:rPr>
      </w:pPr>
    </w:p>
    <w:p>
      <w:pPr>
        <w:jc w:val="both"/>
        <w:rPr>
          <w:rFonts w:asciiTheme="minorHAnsi" w:hAnsiTheme="minorHAnsi" w:cstheme="minorHAnsi"/>
          <w:b/>
          <w:sz w:val="20"/>
          <w:szCs w:val="20"/>
          <w:u w:val="single"/>
          <w:lang w:val="es-EC"/>
        </w:rPr>
      </w:pPr>
      <w:r>
        <w:rPr>
          <w:rFonts w:asciiTheme="minorHAnsi" w:hAnsiTheme="minorHAnsi" w:cstheme="minorHAnsi"/>
          <w:b/>
          <w:sz w:val="20"/>
          <w:szCs w:val="20"/>
          <w:u w:val="single"/>
          <w:lang w:val="es-EC"/>
        </w:rPr>
        <w:t>Capacidad técnica</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El oferente deberá presentar documentación que acredite la capacidad técnica para ofrecer servicio postventa, de manera propia o a través de terceros (el que aplique) a través de los siguientes documentos:</w:t>
      </w:r>
    </w:p>
    <w:p>
      <w:pPr>
        <w:numPr>
          <w:ilvl w:val="0"/>
          <w:numId w:val="87"/>
        </w:numPr>
        <w:jc w:val="both"/>
        <w:rPr>
          <w:rFonts w:asciiTheme="minorHAnsi" w:hAnsiTheme="minorHAnsi" w:cstheme="minorHAnsi"/>
          <w:sz w:val="20"/>
          <w:szCs w:val="20"/>
          <w:lang w:val="es-EC"/>
        </w:rPr>
      </w:pPr>
      <w:r>
        <w:rPr>
          <w:rFonts w:asciiTheme="minorHAnsi" w:hAnsiTheme="minorHAnsi" w:cstheme="minorHAnsi"/>
          <w:sz w:val="20"/>
          <w:szCs w:val="20"/>
          <w:lang w:val="es-EC"/>
        </w:rPr>
        <w:t>Personal técnico mínimo</w:t>
      </w:r>
    </w:p>
    <w:p>
      <w:pPr>
        <w:spacing w:after="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Función: realizar el mantenimiento y capacitación en el manejo y funcionamiento de los equipos ofertados, adjuntar el certificado otorgado al personal técnico por parte del fabricante, de haber recibido capacitación en el mantenimiento de los equipos ofertados. </w:t>
      </w:r>
    </w:p>
    <w:p>
      <w:pPr>
        <w:spacing w:after="0"/>
        <w:jc w:val="both"/>
        <w:rPr>
          <w:rFonts w:asciiTheme="minorHAnsi" w:hAnsiTheme="minorHAnsi" w:cstheme="minorHAnsi"/>
          <w:sz w:val="20"/>
          <w:szCs w:val="20"/>
          <w:lang w:val="es-EC"/>
        </w:rPr>
      </w:pPr>
    </w:p>
    <w:p>
      <w:pPr>
        <w:pStyle w:val="64"/>
        <w:numPr>
          <w:ilvl w:val="0"/>
          <w:numId w:val="88"/>
        </w:numPr>
        <w:spacing w:after="0"/>
        <w:jc w:val="both"/>
        <w:rPr>
          <w:rFonts w:asciiTheme="minorHAnsi" w:hAnsiTheme="minorHAnsi" w:cstheme="minorHAnsi"/>
          <w:sz w:val="20"/>
          <w:szCs w:val="20"/>
          <w:lang w:val="es-EC"/>
        </w:rPr>
      </w:pPr>
      <w:r>
        <w:rPr>
          <w:rFonts w:asciiTheme="minorHAnsi" w:hAnsiTheme="minorHAnsi" w:cstheme="minorHAnsi"/>
          <w:sz w:val="20"/>
          <w:szCs w:val="20"/>
          <w:lang w:val="es-EC"/>
        </w:rPr>
        <w:t>Nivel de Estudio mínimo: Tecnólogo.</w:t>
      </w:r>
    </w:p>
    <w:p>
      <w:pPr>
        <w:pStyle w:val="64"/>
        <w:numPr>
          <w:ilvl w:val="0"/>
          <w:numId w:val="88"/>
        </w:numPr>
        <w:spacing w:after="0"/>
        <w:jc w:val="both"/>
        <w:rPr>
          <w:rFonts w:asciiTheme="minorHAnsi" w:hAnsiTheme="minorHAnsi" w:cstheme="minorHAnsi"/>
          <w:sz w:val="20"/>
          <w:szCs w:val="20"/>
          <w:lang w:val="es-EC"/>
        </w:rPr>
      </w:pPr>
      <w:r>
        <w:rPr>
          <w:rFonts w:asciiTheme="minorHAnsi" w:hAnsiTheme="minorHAnsi" w:cstheme="minorHAnsi"/>
          <w:sz w:val="20"/>
          <w:szCs w:val="20"/>
          <w:lang w:val="es-EC"/>
        </w:rPr>
        <w:t>Titulación académica: Tecnólogo en electrónica, ingeniero en biomédica, ingeniero en electro medicina o afines.</w:t>
      </w:r>
    </w:p>
    <w:p>
      <w:pPr>
        <w:pStyle w:val="64"/>
        <w:numPr>
          <w:ilvl w:val="0"/>
          <w:numId w:val="88"/>
        </w:numPr>
        <w:spacing w:after="0"/>
        <w:jc w:val="both"/>
        <w:rPr>
          <w:rFonts w:asciiTheme="minorHAnsi" w:hAnsiTheme="minorHAnsi" w:cstheme="minorHAnsi"/>
          <w:sz w:val="20"/>
          <w:szCs w:val="20"/>
          <w:lang w:val="es-EC"/>
        </w:rPr>
      </w:pPr>
      <w:r>
        <w:rPr>
          <w:rFonts w:asciiTheme="minorHAnsi" w:hAnsiTheme="minorHAnsi" w:cstheme="minorHAnsi"/>
          <w:sz w:val="20"/>
          <w:szCs w:val="20"/>
          <w:lang w:val="es-EC"/>
        </w:rPr>
        <w:t>Cantidad: 2</w:t>
      </w:r>
    </w:p>
    <w:p>
      <w:pPr>
        <w:jc w:val="both"/>
        <w:rPr>
          <w:rFonts w:asciiTheme="minorHAnsi" w:hAnsiTheme="minorHAnsi" w:cstheme="minorHAnsi"/>
          <w:sz w:val="20"/>
          <w:szCs w:val="20"/>
          <w:lang w:val="es-EC"/>
        </w:rPr>
      </w:pPr>
    </w:p>
    <w:p>
      <w:pPr>
        <w:jc w:val="both"/>
        <w:rPr>
          <w:rFonts w:asciiTheme="minorHAnsi" w:hAnsiTheme="minorHAnsi" w:cstheme="minorHAnsi"/>
          <w:sz w:val="20"/>
          <w:szCs w:val="20"/>
          <w:lang w:val="es-EC"/>
        </w:rPr>
      </w:pPr>
      <w:r>
        <w:rPr>
          <w:rFonts w:asciiTheme="minorHAnsi" w:hAnsiTheme="minorHAnsi" w:cstheme="minorHAnsi"/>
          <w:sz w:val="20"/>
          <w:szCs w:val="20"/>
          <w:lang w:val="es-EC"/>
        </w:rPr>
        <w:t>NOTA: Los Oferentes deberán adjuntar a la oferta técnica la hoja de vida, copia de la cédula de ciudadanía, copia del título obtenido del personal técnico y certificados de capacitación</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Ó en su defecto:</w:t>
      </w:r>
    </w:p>
    <w:p>
      <w:pPr>
        <w:numPr>
          <w:ilvl w:val="0"/>
          <w:numId w:val="89"/>
        </w:numPr>
        <w:jc w:val="both"/>
        <w:rPr>
          <w:rFonts w:asciiTheme="minorHAnsi" w:hAnsiTheme="minorHAnsi" w:cstheme="minorHAnsi"/>
          <w:sz w:val="20"/>
          <w:szCs w:val="20"/>
          <w:lang w:val="es-EC"/>
        </w:rPr>
      </w:pPr>
      <w:r>
        <w:rPr>
          <w:rFonts w:asciiTheme="minorHAnsi" w:hAnsiTheme="minorHAnsi" w:cstheme="minorHAnsi"/>
          <w:sz w:val="20"/>
          <w:szCs w:val="20"/>
          <w:lang w:val="es-EC"/>
        </w:rPr>
        <w:t>Talleres de servicio y soporte postventa</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En el caso de que el oferente mantenga contratos o carta de compromiso o convenios suscritos vigentes para el servicio de postventa, deberá presentar un listado de talleres con cobertura nacional con información básica de contacto (Nombre del taller, RUC, dirección, teléfono, persona de contacto, etc.). Adicionalmente deberán adjuntar a la oferta técnica la hoja de vida, copia de la cédula de ciudadanía, copia del título obtenido del personal técnico y certificados de capacitación, de acuerdo al siguiente detalle:</w:t>
      </w:r>
    </w:p>
    <w:p>
      <w:pPr>
        <w:pStyle w:val="64"/>
        <w:numPr>
          <w:ilvl w:val="0"/>
          <w:numId w:val="88"/>
        </w:numPr>
        <w:spacing w:after="0"/>
        <w:jc w:val="both"/>
        <w:rPr>
          <w:rFonts w:asciiTheme="minorHAnsi" w:hAnsiTheme="minorHAnsi" w:cstheme="minorHAnsi"/>
          <w:sz w:val="20"/>
          <w:szCs w:val="20"/>
          <w:lang w:val="es-EC"/>
        </w:rPr>
      </w:pPr>
      <w:r>
        <w:rPr>
          <w:rFonts w:asciiTheme="minorHAnsi" w:hAnsiTheme="minorHAnsi" w:cstheme="minorHAnsi"/>
          <w:sz w:val="20"/>
          <w:szCs w:val="20"/>
          <w:lang w:val="es-EC"/>
        </w:rPr>
        <w:t>Nivel de Estudio mínimo: Tecnólogo.</w:t>
      </w:r>
    </w:p>
    <w:p>
      <w:pPr>
        <w:pStyle w:val="64"/>
        <w:numPr>
          <w:ilvl w:val="0"/>
          <w:numId w:val="88"/>
        </w:numPr>
        <w:spacing w:after="0"/>
        <w:jc w:val="both"/>
        <w:rPr>
          <w:rFonts w:asciiTheme="minorHAnsi" w:hAnsiTheme="minorHAnsi" w:cstheme="minorHAnsi"/>
          <w:sz w:val="20"/>
          <w:szCs w:val="20"/>
          <w:lang w:val="es-EC"/>
        </w:rPr>
      </w:pPr>
      <w:r>
        <w:rPr>
          <w:rFonts w:asciiTheme="minorHAnsi" w:hAnsiTheme="minorHAnsi" w:cstheme="minorHAnsi"/>
          <w:sz w:val="20"/>
          <w:szCs w:val="20"/>
          <w:lang w:val="es-EC"/>
        </w:rPr>
        <w:t>Titulación académica: Tecnólogo en electrónica, ingeniero en biomédica, ingeniero en electro medicina o afines.</w:t>
      </w:r>
    </w:p>
    <w:p>
      <w:pPr>
        <w:pStyle w:val="64"/>
        <w:numPr>
          <w:ilvl w:val="0"/>
          <w:numId w:val="88"/>
        </w:numPr>
        <w:spacing w:after="0"/>
        <w:jc w:val="both"/>
        <w:rPr>
          <w:rFonts w:asciiTheme="minorHAnsi" w:hAnsiTheme="minorHAnsi" w:cstheme="minorHAnsi"/>
          <w:sz w:val="20"/>
          <w:szCs w:val="20"/>
          <w:lang w:val="es-EC"/>
        </w:rPr>
      </w:pPr>
      <w:r>
        <w:rPr>
          <w:rFonts w:asciiTheme="minorHAnsi" w:hAnsiTheme="minorHAnsi" w:cstheme="minorHAnsi"/>
          <w:sz w:val="20"/>
          <w:szCs w:val="20"/>
          <w:lang w:val="es-EC"/>
        </w:rPr>
        <w:t>Cantidad: 2</w:t>
      </w:r>
    </w:p>
    <w:p>
      <w:pPr>
        <w:pStyle w:val="64"/>
        <w:spacing w:after="0"/>
        <w:jc w:val="both"/>
        <w:rPr>
          <w:rFonts w:asciiTheme="minorHAnsi" w:hAnsiTheme="minorHAnsi" w:cstheme="minorHAnsi"/>
          <w:sz w:val="20"/>
          <w:szCs w:val="20"/>
          <w:lang w:val="es-EC"/>
        </w:rPr>
      </w:pPr>
    </w:p>
    <w:p>
      <w:pPr>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taller de servicio y soporte post venta deberá tener personal técnico calificado, el mismo que debe contar con capacitaciones acreditadas por el fabricante en el mantenimiento de los equipos ofertados. </w:t>
      </w:r>
    </w:p>
    <w:p>
      <w:pPr>
        <w:spacing w:after="120"/>
        <w:jc w:val="both"/>
        <w:rPr>
          <w:rFonts w:asciiTheme="minorHAnsi" w:hAnsiTheme="minorHAnsi" w:cstheme="minorHAnsi"/>
          <w:b/>
          <w:sz w:val="20"/>
          <w:szCs w:val="20"/>
          <w:lang w:val="es-ES"/>
        </w:rPr>
      </w:pPr>
      <w:bookmarkStart w:id="299" w:name="_Toc478103470"/>
      <w:bookmarkStart w:id="300" w:name="_Toc317173251"/>
      <w:bookmarkStart w:id="301" w:name="_Toc106181166"/>
      <w:r>
        <w:rPr>
          <w:rFonts w:asciiTheme="minorHAnsi" w:hAnsiTheme="minorHAnsi" w:cstheme="minorHAnsi"/>
          <w:b/>
          <w:sz w:val="20"/>
          <w:szCs w:val="20"/>
          <w:u w:val="single"/>
          <w:lang w:val="es-ES"/>
        </w:rPr>
        <w:t>Verificación</w:t>
      </w:r>
      <w:r>
        <w:rPr>
          <w:rFonts w:asciiTheme="minorHAnsi" w:hAnsiTheme="minorHAnsi" w:cstheme="minorHAnsi"/>
          <w:b/>
          <w:sz w:val="20"/>
          <w:szCs w:val="20"/>
          <w:lang w:val="es-ES"/>
        </w:rPr>
        <w:t>:</w:t>
      </w:r>
    </w:p>
    <w:p>
      <w:pPr>
        <w:jc w:val="both"/>
        <w:rPr>
          <w:rFonts w:asciiTheme="minorHAnsi" w:hAnsiTheme="minorHAnsi" w:cstheme="minorHAnsi"/>
          <w:sz w:val="20"/>
          <w:szCs w:val="20"/>
          <w:lang w:val="es-ES"/>
        </w:rPr>
      </w:pPr>
      <w:r>
        <w:rPr>
          <w:rFonts w:asciiTheme="minorHAnsi" w:hAnsiTheme="minorHAnsi" w:cstheme="minorHAnsi"/>
          <w:sz w:val="20"/>
          <w:szCs w:val="20"/>
          <w:lang w:val="es-ES"/>
        </w:rPr>
        <w:t xml:space="preserve">El Contratante se reserva la facultad de verificar la veracidad de la información suministrada, y la sola presentación de la oferta autoriza al Contratante a constatar en la fuente toda información comercial, empresarial o bancaria o de otra índole que se quiera hacer valer en esta LPI y/o pedir referencias del oferente, o de los integrantes de una APCA de ser el caso; en tal sentido, y sin perjuicio de la autorización requerida, la sola presentación de oferta implica la aceptación por parte del oferente para que el ente convocante solicite tales referencias. </w:t>
      </w:r>
    </w:p>
    <w:p>
      <w:pPr>
        <w:tabs>
          <w:tab w:val="left" w:pos="0"/>
          <w:tab w:val="left" w:pos="567"/>
          <w:tab w:val="left" w:pos="1276"/>
          <w:tab w:val="left" w:pos="1440"/>
        </w:tabs>
        <w:jc w:val="both"/>
        <w:rPr>
          <w:rFonts w:asciiTheme="minorHAnsi" w:hAnsiTheme="minorHAnsi" w:cstheme="minorHAnsi"/>
          <w:sz w:val="20"/>
          <w:szCs w:val="20"/>
          <w:lang w:val="es-ES"/>
        </w:rPr>
      </w:pPr>
    </w:p>
    <w:p>
      <w:pPr>
        <w:pStyle w:val="3"/>
        <w:jc w:val="both"/>
        <w:rPr>
          <w:rFonts w:asciiTheme="minorHAnsi" w:hAnsiTheme="minorHAnsi" w:cstheme="minorHAnsi"/>
          <w:color w:val="auto"/>
          <w:sz w:val="20"/>
          <w:szCs w:val="20"/>
          <w:lang w:val="es-ES"/>
        </w:rPr>
      </w:pPr>
    </w:p>
    <w:p>
      <w:pPr>
        <w:pStyle w:val="3"/>
        <w:jc w:val="center"/>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Sección IV. Formularios de la Oferta</w:t>
      </w:r>
      <w:bookmarkEnd w:id="299"/>
    </w:p>
    <w:p>
      <w:pPr>
        <w:rPr>
          <w:rFonts w:asciiTheme="minorHAnsi" w:hAnsiTheme="minorHAnsi" w:cstheme="minorHAnsi"/>
          <w:sz w:val="20"/>
          <w:szCs w:val="20"/>
          <w:lang w:val="es-EC"/>
        </w:rPr>
      </w:pPr>
    </w:p>
    <w:bookmarkEnd w:id="300"/>
    <w:bookmarkEnd w:id="301"/>
    <w:p>
      <w:pPr>
        <w:keepNext/>
        <w:keepLines/>
        <w:spacing w:before="240" w:after="0" w:line="240" w:lineRule="auto"/>
        <w:jc w:val="center"/>
        <w:outlineLvl w:val="1"/>
        <w:rPr>
          <w:rFonts w:eastAsia="Times New Roman" w:asciiTheme="minorHAnsi" w:hAnsiTheme="minorHAnsi" w:cstheme="minorHAnsi"/>
          <w:b/>
          <w:bCs/>
          <w:sz w:val="20"/>
          <w:szCs w:val="20"/>
          <w:lang w:val="es-EC"/>
        </w:rPr>
      </w:pPr>
      <w:bookmarkStart w:id="302" w:name="_Toc478103471"/>
      <w:r>
        <w:rPr>
          <w:rFonts w:eastAsia="Times New Roman" w:asciiTheme="minorHAnsi" w:hAnsiTheme="minorHAnsi" w:cstheme="minorHAnsi"/>
          <w:b/>
          <w:bCs/>
          <w:sz w:val="20"/>
          <w:szCs w:val="20"/>
          <w:lang w:val="es-EC"/>
        </w:rPr>
        <w:t>Formulario de Información del Oferente</w:t>
      </w:r>
      <w:bookmarkEnd w:id="302"/>
    </w:p>
    <w:p>
      <w:pPr>
        <w:tabs>
          <w:tab w:val="right" w:leader="dot" w:pos="8820"/>
        </w:tabs>
        <w:spacing w:before="120"/>
        <w:jc w:val="both"/>
        <w:rPr>
          <w:rFonts w:asciiTheme="minorHAnsi" w:hAnsiTheme="minorHAnsi" w:cstheme="minorHAnsi"/>
          <w:i/>
          <w:sz w:val="20"/>
          <w:szCs w:val="20"/>
          <w:lang w:val="es-EC"/>
        </w:rPr>
      </w:pPr>
      <w:r>
        <w:rPr>
          <w:rFonts w:asciiTheme="minorHAnsi" w:hAnsiTheme="minorHAnsi" w:cstheme="minorHAnsi"/>
          <w:i/>
          <w:sz w:val="20"/>
          <w:szCs w:val="20"/>
          <w:lang w:val="es-EC"/>
        </w:rPr>
        <w:t xml:space="preserve">[El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deberá completar este formulario de acuerdo con las instrucciones siguientes.  No se aceptará ninguna alteración a este formulario ni se aceptarán substitutos.]</w:t>
      </w:r>
    </w:p>
    <w:p>
      <w:pPr>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Fecha: </w:t>
      </w:r>
      <w:r>
        <w:rPr>
          <w:rFonts w:asciiTheme="minorHAnsi" w:hAnsiTheme="minorHAnsi" w:cstheme="minorHAnsi"/>
          <w:i/>
          <w:sz w:val="20"/>
          <w:szCs w:val="20"/>
          <w:lang w:val="es-EC"/>
        </w:rPr>
        <w:t xml:space="preserve">[indicar la fecha (día, mes y año) de la presentación de la </w:t>
      </w:r>
      <w:r>
        <w:rPr>
          <w:rFonts w:asciiTheme="minorHAnsi" w:hAnsiTheme="minorHAnsi" w:cstheme="minorHAnsi"/>
          <w:i/>
          <w:iCs/>
          <w:sz w:val="20"/>
          <w:szCs w:val="20"/>
          <w:lang w:val="es-EC"/>
        </w:rPr>
        <w:t>oferta</w:t>
      </w:r>
      <w:r>
        <w:rPr>
          <w:rFonts w:asciiTheme="minorHAnsi" w:hAnsiTheme="minorHAnsi" w:cstheme="minorHAnsi"/>
          <w:i/>
          <w:sz w:val="20"/>
          <w:szCs w:val="20"/>
          <w:lang w:val="es-EC"/>
        </w:rPr>
        <w:t>]</w:t>
      </w:r>
    </w:p>
    <w:p>
      <w:pPr>
        <w:tabs>
          <w:tab w:val="right" w:leader="dot" w:pos="8820"/>
        </w:tabs>
        <w:jc w:val="right"/>
        <w:rPr>
          <w:rFonts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LPI No.: </w:t>
      </w:r>
      <w:r>
        <w:rPr>
          <w:rFonts w:asciiTheme="minorHAnsi" w:hAnsiTheme="minorHAnsi" w:cstheme="minorHAnsi"/>
          <w:i/>
          <w:iCs/>
          <w:sz w:val="20"/>
          <w:szCs w:val="20"/>
          <w:lang w:val="es-EC"/>
        </w:rPr>
        <w:t>[</w:t>
      </w:r>
      <w:r>
        <w:rPr>
          <w:rFonts w:asciiTheme="minorHAnsi" w:hAnsiTheme="minorHAnsi" w:cstheme="minorHAnsi"/>
          <w:i/>
          <w:sz w:val="20"/>
          <w:szCs w:val="20"/>
          <w:lang w:val="es-EC"/>
        </w:rPr>
        <w:t>indicar el número del proceso licitatorio]</w:t>
      </w:r>
    </w:p>
    <w:p>
      <w:pPr>
        <w:suppressAutoHyphens/>
        <w:spacing w:before="60" w:after="60" w:line="240" w:lineRule="auto"/>
        <w:rPr>
          <w:rFonts w:eastAsia="Times New Roman" w:asciiTheme="minorHAnsi" w:hAnsiTheme="minorHAnsi" w:cstheme="minorHAnsi"/>
          <w:spacing w:val="-2"/>
          <w:sz w:val="20"/>
          <w:szCs w:val="20"/>
          <w:lang w:val="es-EC"/>
        </w:rPr>
      </w:pPr>
    </w:p>
    <w:tbl>
      <w:tblPr>
        <w:tblStyle w:val="46"/>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trPr>
        <w:tc>
          <w:tcPr>
            <w:tcW w:w="9450" w:type="dxa"/>
            <w:tcBorders>
              <w:bottom w:val="nil"/>
            </w:tcBorders>
          </w:tcPr>
          <w:p>
            <w:pPr>
              <w:pStyle w:val="64"/>
              <w:numPr>
                <w:ilvl w:val="0"/>
                <w:numId w:val="90"/>
              </w:numPr>
              <w:suppressAutoHyphens/>
              <w:spacing w:before="60" w:after="60" w:line="240" w:lineRule="auto"/>
              <w:ind w:left="432"/>
              <w:jc w:val="both"/>
              <w:rPr>
                <w:rFonts w:eastAsia="Times New Roman" w:asciiTheme="minorHAnsi" w:hAnsiTheme="minorHAnsi" w:cstheme="minorHAnsi"/>
                <w:sz w:val="20"/>
                <w:szCs w:val="20"/>
                <w:lang w:val="es-EC"/>
              </w:rPr>
            </w:pPr>
            <w:r>
              <w:rPr>
                <w:rFonts w:asciiTheme="minorHAnsi" w:hAnsiTheme="minorHAnsi" w:cstheme="minorHAnsi"/>
                <w:spacing w:val="-2"/>
                <w:sz w:val="20"/>
                <w:szCs w:val="20"/>
                <w:lang w:val="es-EC"/>
              </w:rPr>
              <w:t>Nombre jurídico del Oferente</w:t>
            </w:r>
            <w:r>
              <w:rPr>
                <w:rFonts w:asciiTheme="minorHAnsi" w:hAnsiTheme="minorHAnsi" w:cstheme="minorHAnsi"/>
                <w:i/>
                <w:sz w:val="20"/>
                <w:szCs w:val="20"/>
                <w:lang w:val="es-EC"/>
              </w:rPr>
              <w:t xml:space="preserve">[indicar el nombre jurídico del </w:t>
            </w:r>
            <w:r>
              <w:rPr>
                <w:rFonts w:asciiTheme="minorHAnsi" w:hAnsiTheme="minorHAnsi" w:cstheme="minorHAnsi"/>
                <w:bCs/>
                <w:i/>
                <w:iCs/>
                <w:sz w:val="20"/>
                <w:szCs w:val="20"/>
                <w:lang w:val="es-EC"/>
              </w:rPr>
              <w:t>Oferente</w:t>
            </w:r>
            <w:r>
              <w:rPr>
                <w:rFonts w:asciiTheme="minorHAnsi" w:hAnsiTheme="minorHAnsi" w:cstheme="minorHAnsi"/>
                <w:i/>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4" w:hRule="atLeast"/>
        </w:trPr>
        <w:tc>
          <w:tcPr>
            <w:tcW w:w="9450" w:type="dxa"/>
            <w:tcBorders>
              <w:left w:val="single" w:color="auto" w:sz="4" w:space="0"/>
            </w:tcBorders>
          </w:tcPr>
          <w:p>
            <w:pPr>
              <w:pStyle w:val="64"/>
              <w:numPr>
                <w:ilvl w:val="0"/>
                <w:numId w:val="90"/>
              </w:numPr>
              <w:suppressAutoHyphens/>
              <w:spacing w:before="60" w:after="60" w:line="240" w:lineRule="auto"/>
              <w:ind w:left="432"/>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 xml:space="preserve">Si se trata de una Asociación en Participación o Consorcio, nombre jurídico de cada miembro: </w:t>
            </w:r>
            <w:r>
              <w:rPr>
                <w:rFonts w:asciiTheme="minorHAnsi" w:hAnsiTheme="minorHAnsi" w:cstheme="minorHAnsi"/>
                <w:i/>
                <w:spacing w:val="-2"/>
                <w:sz w:val="20"/>
                <w:szCs w:val="20"/>
                <w:lang w:val="es-EC"/>
              </w:rPr>
              <w:t xml:space="preserve">[indicar el nombre jurídico de cada miembro de la </w:t>
            </w:r>
            <w:r>
              <w:rPr>
                <w:rFonts w:asciiTheme="minorHAnsi" w:hAnsiTheme="minorHAnsi" w:cstheme="minorHAnsi"/>
                <w:i/>
                <w:iCs/>
                <w:spacing w:val="-2"/>
                <w:sz w:val="20"/>
                <w:szCs w:val="20"/>
                <w:lang w:val="es-EC"/>
              </w:rPr>
              <w:t>Asociación en Participación o Consorcio</w:t>
            </w:r>
            <w:r>
              <w:rPr>
                <w:rFonts w:asciiTheme="minorHAnsi" w:hAnsiTheme="minorHAnsi" w:cstheme="minorHAnsi"/>
                <w:i/>
                <w:spacing w:val="-2"/>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4" w:hRule="atLeast"/>
        </w:trPr>
        <w:tc>
          <w:tcPr>
            <w:tcW w:w="9450" w:type="dxa"/>
            <w:tcBorders>
              <w:left w:val="single" w:color="auto" w:sz="4" w:space="0"/>
            </w:tcBorders>
          </w:tcPr>
          <w:p>
            <w:pPr>
              <w:pStyle w:val="64"/>
              <w:numPr>
                <w:ilvl w:val="0"/>
                <w:numId w:val="90"/>
              </w:numPr>
              <w:suppressAutoHyphens/>
              <w:spacing w:before="60" w:after="60" w:line="240" w:lineRule="auto"/>
              <w:ind w:left="432"/>
              <w:jc w:val="both"/>
              <w:rPr>
                <w:rFonts w:eastAsia="Times New Roman" w:asciiTheme="minorHAnsi" w:hAnsiTheme="minorHAnsi" w:cstheme="minorHAnsi"/>
                <w:b/>
                <w:sz w:val="20"/>
                <w:szCs w:val="20"/>
                <w:lang w:val="es-EC"/>
              </w:rPr>
            </w:pPr>
            <w:r>
              <w:rPr>
                <w:rFonts w:asciiTheme="minorHAnsi" w:hAnsiTheme="minorHAnsi" w:cstheme="minorHAnsi"/>
                <w:spacing w:val="-2"/>
                <w:sz w:val="20"/>
                <w:szCs w:val="20"/>
                <w:lang w:val="es-EC"/>
              </w:rPr>
              <w:t xml:space="preserve">País donde está registrado el Oferente en la actualidad o País donde intenta registrarse </w:t>
            </w:r>
            <w:r>
              <w:rPr>
                <w:rFonts w:asciiTheme="minorHAnsi" w:hAnsiTheme="minorHAnsi" w:cstheme="minorHAnsi"/>
                <w:i/>
                <w:spacing w:val="-2"/>
                <w:sz w:val="20"/>
                <w:szCs w:val="20"/>
                <w:lang w:val="es-EC"/>
              </w:rPr>
              <w:t xml:space="preserve">[indicar el país de ciudadanía del </w:t>
            </w:r>
            <w:r>
              <w:rPr>
                <w:rFonts w:asciiTheme="minorHAnsi" w:hAnsiTheme="minorHAnsi" w:cstheme="minorHAnsi"/>
                <w:i/>
                <w:iCs/>
                <w:spacing w:val="-2"/>
                <w:sz w:val="20"/>
                <w:szCs w:val="20"/>
                <w:lang w:val="es-EC"/>
              </w:rPr>
              <w:t>Oferente</w:t>
            </w:r>
            <w:r>
              <w:rPr>
                <w:rFonts w:asciiTheme="minorHAnsi" w:hAnsiTheme="minorHAnsi" w:cstheme="minorHAnsi"/>
                <w:i/>
                <w:spacing w:val="-2"/>
                <w:sz w:val="20"/>
                <w:szCs w:val="20"/>
                <w:lang w:val="es-EC"/>
              </w:rPr>
              <w:t xml:space="preserve"> en la actualidad o país donde intenta </w:t>
            </w:r>
            <w:r>
              <w:rPr>
                <w:rFonts w:asciiTheme="minorHAnsi" w:hAnsiTheme="minorHAnsi" w:cstheme="minorHAnsi"/>
                <w:i/>
                <w:iCs/>
                <w:spacing w:val="-2"/>
                <w:sz w:val="20"/>
                <w:szCs w:val="20"/>
                <w:lang w:val="es-EC"/>
              </w:rPr>
              <w:t>registrarse</w:t>
            </w:r>
            <w:r>
              <w:rPr>
                <w:rFonts w:asciiTheme="minorHAnsi" w:hAnsiTheme="minorHAnsi" w:cstheme="minorHAnsi"/>
                <w:i/>
                <w:spacing w:val="-2"/>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8" w:hRule="atLeast"/>
        </w:trPr>
        <w:tc>
          <w:tcPr>
            <w:tcW w:w="9450" w:type="dxa"/>
            <w:tcBorders>
              <w:left w:val="single" w:color="auto" w:sz="4" w:space="0"/>
            </w:tcBorders>
          </w:tcPr>
          <w:p>
            <w:pPr>
              <w:pStyle w:val="64"/>
              <w:numPr>
                <w:ilvl w:val="0"/>
                <w:numId w:val="90"/>
              </w:numPr>
              <w:suppressAutoHyphens/>
              <w:spacing w:before="60" w:after="60" w:line="240" w:lineRule="auto"/>
              <w:ind w:left="432"/>
              <w:contextualSpacing w:val="0"/>
              <w:jc w:val="both"/>
              <w:rPr>
                <w:rFonts w:eastAsia="Times New Roman" w:asciiTheme="minorHAnsi" w:hAnsiTheme="minorHAnsi" w:cstheme="minorHAnsi"/>
                <w:b/>
                <w:spacing w:val="-2"/>
                <w:sz w:val="20"/>
                <w:szCs w:val="20"/>
                <w:lang w:val="es-EC"/>
              </w:rPr>
            </w:pPr>
            <w:r>
              <w:rPr>
                <w:rFonts w:asciiTheme="minorHAnsi" w:hAnsiTheme="minorHAnsi" w:cstheme="minorHAnsi"/>
                <w:spacing w:val="-2"/>
                <w:sz w:val="20"/>
                <w:szCs w:val="20"/>
                <w:lang w:val="es-EC"/>
              </w:rPr>
              <w:t xml:space="preserve">Año de registro del Oferente: </w:t>
            </w:r>
            <w:r>
              <w:rPr>
                <w:rFonts w:asciiTheme="minorHAnsi" w:hAnsiTheme="minorHAnsi" w:cstheme="minorHAnsi"/>
                <w:i/>
                <w:spacing w:val="-2"/>
                <w:sz w:val="20"/>
                <w:szCs w:val="20"/>
                <w:lang w:val="es-EC"/>
              </w:rPr>
              <w:t xml:space="preserve">[indicar el año de </w:t>
            </w:r>
            <w:r>
              <w:rPr>
                <w:rFonts w:asciiTheme="minorHAnsi" w:hAnsiTheme="minorHAnsi" w:cstheme="minorHAnsi"/>
                <w:i/>
                <w:iCs/>
                <w:spacing w:val="-2"/>
                <w:sz w:val="20"/>
                <w:szCs w:val="20"/>
                <w:lang w:val="es-EC"/>
              </w:rPr>
              <w:t>registro</w:t>
            </w:r>
            <w:r>
              <w:rPr>
                <w:rFonts w:asciiTheme="minorHAnsi" w:hAnsiTheme="minorHAnsi" w:cstheme="minorHAnsi"/>
                <w:i/>
                <w:spacing w:val="-2"/>
                <w:sz w:val="20"/>
                <w:szCs w:val="20"/>
                <w:lang w:val="es-EC"/>
              </w:rPr>
              <w:t xml:space="preserve"> del </w:t>
            </w:r>
            <w:r>
              <w:rPr>
                <w:rFonts w:asciiTheme="minorHAnsi" w:hAnsiTheme="minorHAnsi" w:cstheme="minorHAnsi"/>
                <w:i/>
                <w:iCs/>
                <w:spacing w:val="-2"/>
                <w:sz w:val="20"/>
                <w:szCs w:val="20"/>
                <w:lang w:val="es-EC"/>
              </w:rPr>
              <w:t>Oferente</w:t>
            </w:r>
            <w:r>
              <w:rPr>
                <w:rFonts w:asciiTheme="minorHAnsi" w:hAnsiTheme="minorHAnsi" w:cstheme="minorHAnsi"/>
                <w:i/>
                <w:spacing w:val="-2"/>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450" w:type="dxa"/>
            <w:tcBorders>
              <w:left w:val="single" w:color="auto" w:sz="4" w:space="0"/>
            </w:tcBorders>
          </w:tcPr>
          <w:p>
            <w:pPr>
              <w:pStyle w:val="64"/>
              <w:numPr>
                <w:ilvl w:val="0"/>
                <w:numId w:val="90"/>
              </w:numPr>
              <w:suppressAutoHyphens/>
              <w:spacing w:before="60" w:after="60" w:line="240" w:lineRule="auto"/>
              <w:ind w:left="432"/>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 xml:space="preserve">Dirección jurídica del Oferente en el país donde está registrado: </w:t>
            </w:r>
            <w:r>
              <w:rPr>
                <w:rFonts w:asciiTheme="minorHAnsi" w:hAnsiTheme="minorHAnsi" w:cstheme="minorHAnsi"/>
                <w:i/>
                <w:spacing w:val="-2"/>
                <w:sz w:val="20"/>
                <w:szCs w:val="20"/>
                <w:lang w:val="es-EC"/>
              </w:rPr>
              <w:t xml:space="preserve">[indicar la Dirección jurídica del </w:t>
            </w:r>
            <w:r>
              <w:rPr>
                <w:rFonts w:asciiTheme="minorHAnsi" w:hAnsiTheme="minorHAnsi" w:cstheme="minorHAnsi"/>
                <w:i/>
                <w:iCs/>
                <w:spacing w:val="-2"/>
                <w:sz w:val="20"/>
                <w:szCs w:val="20"/>
                <w:lang w:val="es-EC"/>
              </w:rPr>
              <w:t>Oferente</w:t>
            </w:r>
            <w:r>
              <w:rPr>
                <w:rFonts w:asciiTheme="minorHAnsi" w:hAnsiTheme="minorHAnsi" w:cstheme="minorHAnsi"/>
                <w:i/>
                <w:spacing w:val="-2"/>
                <w:sz w:val="20"/>
                <w:szCs w:val="20"/>
                <w:lang w:val="es-EC"/>
              </w:rPr>
              <w:t xml:space="preserve"> en el país donde está </w:t>
            </w:r>
            <w:r>
              <w:rPr>
                <w:rFonts w:asciiTheme="minorHAnsi" w:hAnsiTheme="minorHAnsi" w:cstheme="minorHAnsi"/>
                <w:i/>
                <w:iCs/>
                <w:spacing w:val="-2"/>
                <w:sz w:val="20"/>
                <w:szCs w:val="20"/>
                <w:lang w:val="es-EC"/>
              </w:rPr>
              <w:t>registrado</w:t>
            </w:r>
            <w:r>
              <w:rPr>
                <w:rFonts w:asciiTheme="minorHAnsi" w:hAnsiTheme="minorHAnsi" w:cstheme="minorHAnsi"/>
                <w:i/>
                <w:spacing w:val="-2"/>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450" w:type="dxa"/>
          </w:tcPr>
          <w:p>
            <w:pPr>
              <w:pStyle w:val="64"/>
              <w:numPr>
                <w:ilvl w:val="0"/>
                <w:numId w:val="90"/>
              </w:numPr>
              <w:suppressAutoHyphens/>
              <w:spacing w:before="60" w:after="60" w:line="240" w:lineRule="auto"/>
              <w:ind w:left="432"/>
              <w:jc w:val="both"/>
              <w:rPr>
                <w:rFonts w:asciiTheme="minorHAnsi" w:hAnsiTheme="minorHAnsi" w:cstheme="minorHAnsi"/>
                <w:spacing w:val="-2"/>
                <w:sz w:val="20"/>
                <w:szCs w:val="20"/>
                <w:lang w:val="es-EC"/>
              </w:rPr>
            </w:pPr>
            <w:r>
              <w:rPr>
                <w:rFonts w:asciiTheme="minorHAnsi" w:hAnsiTheme="minorHAnsi" w:cstheme="minorHAnsi"/>
                <w:spacing w:val="-2"/>
                <w:sz w:val="20"/>
                <w:szCs w:val="20"/>
                <w:lang w:val="es-EC"/>
              </w:rPr>
              <w:t>Información del representante autorizado del Oferente:</w:t>
            </w:r>
          </w:p>
          <w:p>
            <w:pPr>
              <w:suppressAutoHyphens/>
              <w:spacing w:after="120" w:line="240" w:lineRule="auto"/>
              <w:ind w:left="360" w:hanging="360"/>
              <w:jc w:val="both"/>
              <w:rPr>
                <w:rFonts w:asciiTheme="minorHAnsi" w:hAnsiTheme="minorHAnsi" w:cstheme="minorHAnsi"/>
                <w:i/>
                <w:spacing w:val="-2"/>
                <w:sz w:val="20"/>
                <w:szCs w:val="20"/>
                <w:lang w:val="es-EC"/>
              </w:rPr>
            </w:pPr>
            <w:r>
              <w:rPr>
                <w:rFonts w:asciiTheme="minorHAnsi" w:hAnsiTheme="minorHAnsi" w:cstheme="minorHAnsi"/>
                <w:spacing w:val="-2"/>
                <w:sz w:val="20"/>
                <w:szCs w:val="20"/>
                <w:lang w:val="es-EC"/>
              </w:rPr>
              <w:tab/>
            </w:r>
            <w:r>
              <w:rPr>
                <w:rFonts w:asciiTheme="minorHAnsi" w:hAnsiTheme="minorHAnsi" w:cstheme="minorHAnsi"/>
                <w:spacing w:val="-2"/>
                <w:sz w:val="20"/>
                <w:szCs w:val="20"/>
                <w:lang w:val="es-EC"/>
              </w:rPr>
              <w:t xml:space="preserve">Nombre: </w:t>
            </w:r>
            <w:r>
              <w:rPr>
                <w:rFonts w:asciiTheme="minorHAnsi" w:hAnsiTheme="minorHAnsi" w:cstheme="minorHAnsi"/>
                <w:i/>
                <w:spacing w:val="-2"/>
                <w:sz w:val="20"/>
                <w:szCs w:val="20"/>
                <w:lang w:val="es-EC"/>
              </w:rPr>
              <w:t>[indicar el nombre del representante autorizado]</w:t>
            </w:r>
          </w:p>
          <w:p>
            <w:pPr>
              <w:suppressAutoHyphens/>
              <w:spacing w:after="120" w:line="240" w:lineRule="auto"/>
              <w:ind w:left="360" w:hanging="360"/>
              <w:jc w:val="both"/>
              <w:rPr>
                <w:rFonts w:asciiTheme="minorHAnsi" w:hAnsiTheme="minorHAnsi" w:cstheme="minorHAnsi"/>
                <w:i/>
                <w:spacing w:val="-2"/>
                <w:sz w:val="20"/>
                <w:szCs w:val="20"/>
                <w:lang w:val="es-EC"/>
              </w:rPr>
            </w:pPr>
            <w:r>
              <w:rPr>
                <w:rFonts w:asciiTheme="minorHAnsi" w:hAnsiTheme="minorHAnsi" w:cstheme="minorHAnsi"/>
                <w:spacing w:val="-2"/>
                <w:sz w:val="20"/>
                <w:szCs w:val="20"/>
                <w:lang w:val="es-EC"/>
              </w:rPr>
              <w:tab/>
            </w:r>
            <w:r>
              <w:rPr>
                <w:rFonts w:asciiTheme="minorHAnsi" w:hAnsiTheme="minorHAnsi" w:cstheme="minorHAnsi"/>
                <w:spacing w:val="-2"/>
                <w:sz w:val="20"/>
                <w:szCs w:val="20"/>
                <w:lang w:val="es-EC"/>
              </w:rPr>
              <w:t>Dirección:</w:t>
            </w:r>
            <w:r>
              <w:rPr>
                <w:rFonts w:asciiTheme="minorHAnsi" w:hAnsiTheme="minorHAnsi" w:cstheme="minorHAnsi"/>
                <w:i/>
                <w:spacing w:val="-2"/>
                <w:sz w:val="20"/>
                <w:szCs w:val="20"/>
                <w:lang w:val="es-EC"/>
              </w:rPr>
              <w:t>[indicar la dirección del representante autorizado]</w:t>
            </w:r>
          </w:p>
          <w:p>
            <w:pPr>
              <w:suppressAutoHyphens/>
              <w:spacing w:after="120" w:line="240" w:lineRule="auto"/>
              <w:ind w:left="360" w:hanging="18"/>
              <w:jc w:val="both"/>
              <w:rPr>
                <w:rFonts w:asciiTheme="minorHAnsi" w:hAnsiTheme="minorHAnsi" w:cstheme="minorHAnsi"/>
                <w:i/>
                <w:spacing w:val="-2"/>
                <w:sz w:val="20"/>
                <w:szCs w:val="20"/>
                <w:lang w:val="es-EC"/>
              </w:rPr>
            </w:pPr>
            <w:r>
              <w:rPr>
                <w:rFonts w:asciiTheme="minorHAnsi" w:hAnsiTheme="minorHAnsi" w:cstheme="minorHAnsi"/>
                <w:spacing w:val="-2"/>
                <w:sz w:val="20"/>
                <w:szCs w:val="20"/>
                <w:lang w:val="es-EC"/>
              </w:rPr>
              <w:t>Números de teléfono y facsímile</w:t>
            </w:r>
            <w:r>
              <w:rPr>
                <w:rFonts w:asciiTheme="minorHAnsi" w:hAnsiTheme="minorHAnsi" w:cstheme="minorHAnsi"/>
                <w:i/>
                <w:spacing w:val="-2"/>
                <w:sz w:val="20"/>
                <w:szCs w:val="20"/>
                <w:lang w:val="es-EC"/>
              </w:rPr>
              <w:t>: [indicar los números de teléfono y facsímile del representante autorizado]</w:t>
            </w:r>
          </w:p>
          <w:p>
            <w:pPr>
              <w:suppressAutoHyphens/>
              <w:spacing w:after="120" w:line="240" w:lineRule="auto"/>
              <w:ind w:left="360" w:hanging="18"/>
              <w:jc w:val="both"/>
              <w:rPr>
                <w:rFonts w:asciiTheme="minorHAnsi" w:hAnsiTheme="minorHAnsi" w:cstheme="minorHAnsi"/>
                <w:i/>
                <w:spacing w:val="-2"/>
                <w:sz w:val="20"/>
                <w:szCs w:val="20"/>
                <w:lang w:val="es-EC"/>
              </w:rPr>
            </w:pPr>
            <w:r>
              <w:rPr>
                <w:rFonts w:asciiTheme="minorHAnsi" w:hAnsiTheme="minorHAnsi" w:cstheme="minorHAnsi"/>
                <w:spacing w:val="-2"/>
                <w:sz w:val="20"/>
                <w:szCs w:val="20"/>
                <w:lang w:val="es-EC"/>
              </w:rPr>
              <w:t xml:space="preserve">Dirección de correo electrónico: </w:t>
            </w:r>
            <w:r>
              <w:rPr>
                <w:rFonts w:asciiTheme="minorHAnsi" w:hAnsiTheme="minorHAnsi" w:cstheme="minorHAnsi"/>
                <w:i/>
                <w:spacing w:val="-2"/>
                <w:sz w:val="20"/>
                <w:szCs w:val="20"/>
                <w:lang w:val="es-EC"/>
              </w:rPr>
              <w:t>[indicar la dirección de correo electrónico del representante autorizado]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450" w:type="dxa"/>
          </w:tcPr>
          <w:p>
            <w:pPr>
              <w:pStyle w:val="64"/>
              <w:numPr>
                <w:ilvl w:val="0"/>
                <w:numId w:val="90"/>
              </w:numPr>
              <w:suppressAutoHyphens/>
              <w:spacing w:before="60" w:after="60" w:line="240" w:lineRule="auto"/>
              <w:ind w:left="432"/>
              <w:contextualSpacing w:val="0"/>
              <w:jc w:val="both"/>
              <w:rPr>
                <w:rFonts w:eastAsia="Times New Roman" w:asciiTheme="minorHAnsi" w:hAnsiTheme="minorHAnsi" w:cstheme="minorHAnsi"/>
                <w:i/>
                <w:spacing w:val="-2"/>
                <w:sz w:val="20"/>
                <w:szCs w:val="20"/>
                <w:lang w:val="es-EC"/>
              </w:rPr>
            </w:pPr>
            <w:r>
              <w:rPr>
                <w:rFonts w:asciiTheme="minorHAnsi" w:hAnsiTheme="minorHAnsi" w:cstheme="minorHAnsi"/>
                <w:spacing w:val="-2"/>
                <w:sz w:val="20"/>
                <w:szCs w:val="20"/>
                <w:lang w:val="es-EC"/>
              </w:rPr>
              <w:t xml:space="preserve">Se adjuntan copias de los documentos originales de: </w:t>
            </w:r>
            <w:r>
              <w:rPr>
                <w:rFonts w:asciiTheme="minorHAnsi" w:hAnsiTheme="minorHAnsi" w:cstheme="minorHAnsi"/>
                <w:i/>
                <w:spacing w:val="-2"/>
                <w:sz w:val="20"/>
                <w:szCs w:val="20"/>
                <w:lang w:val="es-EC"/>
              </w:rPr>
              <w:t>[marcar la(s) casilla(s) de los documentos originales adjuntos]</w:t>
            </w:r>
          </w:p>
          <w:p>
            <w:pPr>
              <w:numPr>
                <w:ilvl w:val="0"/>
                <w:numId w:val="91"/>
              </w:numPr>
              <w:suppressAutoHyphens/>
              <w:spacing w:before="60" w:after="60" w:line="240" w:lineRule="auto"/>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Estatutos de la Sociedad o Registro de la empresa indicada en el párrafo1 anterior, y de conformidad con las Subcláusulas 4.1 y 4.2  de las IAO.</w:t>
            </w:r>
          </w:p>
          <w:p>
            <w:pPr>
              <w:numPr>
                <w:ilvl w:val="0"/>
                <w:numId w:val="91"/>
              </w:numPr>
              <w:suppressAutoHyphens/>
              <w:spacing w:before="60" w:after="60" w:line="240" w:lineRule="auto"/>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Si se trata de una Asociación en Participación o Consorcio, carta de intención de formar la Asociación en Participación o el Consorcio, o el Convenio de Asociación en Participación o del Consorcio, de conformidad con la Subcláusula 4.1 de las IAO.</w:t>
            </w:r>
          </w:p>
          <w:p>
            <w:pPr>
              <w:numPr>
                <w:ilvl w:val="0"/>
                <w:numId w:val="91"/>
              </w:numPr>
              <w:suppressAutoHyphens/>
              <w:spacing w:before="60" w:after="60" w:line="240" w:lineRule="auto"/>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Si se trata de un ente gubernamental del país del Comprador, documentación que acredite su autonomía jurídica y financiera y el cumplimiento con las leyes comerciales, de conformidad con la Subcláusula 4.5 de las IAO.</w:t>
            </w:r>
          </w:p>
        </w:tc>
      </w:tr>
    </w:tbl>
    <w:p>
      <w:pPr>
        <w:rPr>
          <w:rFonts w:eastAsia="Times New Roman" w:asciiTheme="minorHAnsi" w:hAnsiTheme="minorHAnsi" w:cstheme="minorHAnsi"/>
          <w:b/>
          <w:bCs/>
          <w:sz w:val="20"/>
          <w:szCs w:val="20"/>
          <w:lang w:val="es-EC"/>
        </w:rPr>
      </w:pPr>
      <w:bookmarkStart w:id="303" w:name="_Toc317173252"/>
      <w:bookmarkStart w:id="304" w:name="_Toc106181167"/>
      <w:bookmarkStart w:id="305" w:name="_Toc317173253"/>
      <w:bookmarkStart w:id="306" w:name="_Toc106181168"/>
    </w:p>
    <w:p>
      <w:pPr>
        <w:rPr>
          <w:rFonts w:eastAsia="Times New Roman" w:asciiTheme="minorHAnsi" w:hAnsiTheme="minorHAnsi" w:cstheme="minorHAnsi"/>
          <w:b/>
          <w:bCs/>
          <w:sz w:val="20"/>
          <w:szCs w:val="20"/>
          <w:lang w:val="es-EC"/>
        </w:rPr>
      </w:pPr>
    </w:p>
    <w:p>
      <w:pPr>
        <w:rPr>
          <w:rFonts w:eastAsia="Times New Roman" w:asciiTheme="minorHAnsi" w:hAnsiTheme="minorHAnsi" w:cstheme="minorHAnsi"/>
          <w:b/>
          <w:bCs/>
          <w:sz w:val="20"/>
          <w:szCs w:val="20"/>
          <w:lang w:val="es-EC"/>
        </w:rPr>
      </w:pPr>
    </w:p>
    <w:p>
      <w:pPr>
        <w:rPr>
          <w:rFonts w:eastAsia="Times New Roman" w:asciiTheme="minorHAnsi" w:hAnsiTheme="minorHAnsi" w:cstheme="minorHAnsi"/>
          <w:b/>
          <w:bCs/>
          <w:sz w:val="20"/>
          <w:szCs w:val="20"/>
          <w:lang w:val="es-EC"/>
        </w:rPr>
      </w:pPr>
    </w:p>
    <w:p>
      <w:pPr>
        <w:jc w:val="center"/>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Formulario de Información de Miembros de la Asociación en Participación o Consorcio</w:t>
      </w:r>
      <w:bookmarkEnd w:id="303"/>
      <w:bookmarkEnd w:id="304"/>
    </w:p>
    <w:p>
      <w:pPr>
        <w:spacing w:before="60" w:after="60" w:line="240" w:lineRule="auto"/>
        <w:jc w:val="center"/>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[El Oferente deberá completar este formulario de acuerdo con las instrucciones indicadas a continuación]</w:t>
      </w:r>
    </w:p>
    <w:p>
      <w:pPr>
        <w:spacing w:before="60" w:after="60" w:line="240" w:lineRule="auto"/>
        <w:jc w:val="center"/>
        <w:rPr>
          <w:rFonts w:eastAsia="Times New Roman" w:asciiTheme="minorHAnsi" w:hAnsiTheme="minorHAnsi" w:cstheme="minorHAnsi"/>
          <w:i/>
          <w:iCs/>
          <w:sz w:val="20"/>
          <w:szCs w:val="20"/>
          <w:lang w:val="es-EC"/>
        </w:rPr>
      </w:pPr>
    </w:p>
    <w:p>
      <w:pPr>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Fecha: </w:t>
      </w:r>
      <w:r>
        <w:rPr>
          <w:rFonts w:eastAsia="Times New Roman" w:asciiTheme="minorHAnsi" w:hAnsiTheme="minorHAnsi" w:cstheme="minorHAnsi"/>
          <w:i/>
          <w:sz w:val="20"/>
          <w:szCs w:val="20"/>
          <w:lang w:val="es-EC"/>
        </w:rPr>
        <w:t>[indicar la fecha (día, mes y año) de la presentación de la oferta</w:t>
      </w:r>
      <w:r>
        <w:rPr>
          <w:rFonts w:eastAsia="Times New Roman" w:asciiTheme="minorHAnsi" w:hAnsiTheme="minorHAnsi" w:cstheme="minorHAnsi"/>
          <w:sz w:val="20"/>
          <w:szCs w:val="20"/>
          <w:lang w:val="es-EC"/>
        </w:rPr>
        <w:t xml:space="preserve">] </w:t>
      </w:r>
    </w:p>
    <w:p>
      <w:pPr>
        <w:tabs>
          <w:tab w:val="right" w:pos="9360"/>
        </w:tabs>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LPI No.: </w:t>
      </w:r>
      <w:r>
        <w:rPr>
          <w:rFonts w:eastAsia="Times New Roman" w:asciiTheme="minorHAnsi" w:hAnsiTheme="minorHAnsi" w:cstheme="minorHAnsi"/>
          <w:i/>
          <w:sz w:val="20"/>
          <w:szCs w:val="20"/>
          <w:lang w:val="es-EC"/>
        </w:rPr>
        <w:t>[indicar el número del proceso licitatorio]</w:t>
      </w:r>
    </w:p>
    <w:p>
      <w:pPr>
        <w:suppressAutoHyphens/>
        <w:spacing w:before="60" w:after="60" w:line="240" w:lineRule="auto"/>
        <w:rPr>
          <w:rFonts w:eastAsia="Times New Roman" w:asciiTheme="minorHAnsi" w:hAnsiTheme="minorHAnsi" w:cstheme="minorHAnsi"/>
          <w:spacing w:val="-2"/>
          <w:sz w:val="20"/>
          <w:szCs w:val="20"/>
          <w:lang w:val="es-EC"/>
        </w:rPr>
      </w:pPr>
    </w:p>
    <w:tbl>
      <w:tblPr>
        <w:tblStyle w:val="46"/>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trPr>
        <w:tc>
          <w:tcPr>
            <w:tcW w:w="9450" w:type="dxa"/>
            <w:tcBorders>
              <w:bottom w:val="nil"/>
            </w:tcBorders>
          </w:tcPr>
          <w:p>
            <w:pPr>
              <w:pStyle w:val="64"/>
              <w:numPr>
                <w:ilvl w:val="0"/>
                <w:numId w:val="92"/>
              </w:numPr>
              <w:suppressAutoHyphens/>
              <w:spacing w:before="60" w:after="60" w:line="240" w:lineRule="auto"/>
              <w:ind w:left="432"/>
              <w:jc w:val="both"/>
              <w:rPr>
                <w:rFonts w:eastAsia="Times New Roman" w:asciiTheme="minorHAnsi" w:hAnsiTheme="minorHAnsi" w:cstheme="minorHAnsi"/>
                <w:sz w:val="20"/>
                <w:szCs w:val="20"/>
                <w:lang w:val="es-EC"/>
              </w:rPr>
            </w:pPr>
            <w:r>
              <w:rPr>
                <w:rFonts w:asciiTheme="minorHAnsi" w:hAnsiTheme="minorHAnsi" w:cstheme="minorHAnsi"/>
                <w:spacing w:val="-2"/>
                <w:sz w:val="20"/>
                <w:szCs w:val="20"/>
                <w:lang w:val="es-EC"/>
              </w:rPr>
              <w:t>Nombre jurídico del Oferente</w:t>
            </w:r>
            <w:r>
              <w:rPr>
                <w:rFonts w:asciiTheme="minorHAnsi" w:hAnsiTheme="minorHAnsi" w:cstheme="minorHAnsi"/>
                <w:i/>
                <w:sz w:val="20"/>
                <w:szCs w:val="20"/>
                <w:lang w:val="es-EC"/>
              </w:rPr>
              <w:t xml:space="preserve">[indicar el nombre jurídico del </w:t>
            </w:r>
            <w:r>
              <w:rPr>
                <w:rFonts w:asciiTheme="minorHAnsi" w:hAnsiTheme="minorHAnsi" w:cstheme="minorHAnsi"/>
                <w:bCs/>
                <w:i/>
                <w:iCs/>
                <w:sz w:val="20"/>
                <w:szCs w:val="20"/>
                <w:lang w:val="es-EC"/>
              </w:rPr>
              <w:t>Oferente</w:t>
            </w:r>
            <w:r>
              <w:rPr>
                <w:rFonts w:asciiTheme="minorHAnsi" w:hAnsiTheme="minorHAnsi" w:cstheme="minorHAnsi"/>
                <w:i/>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4" w:hRule="atLeast"/>
        </w:trPr>
        <w:tc>
          <w:tcPr>
            <w:tcW w:w="9450" w:type="dxa"/>
            <w:tcBorders>
              <w:left w:val="single" w:color="auto" w:sz="4" w:space="0"/>
            </w:tcBorders>
          </w:tcPr>
          <w:p>
            <w:pPr>
              <w:pStyle w:val="64"/>
              <w:numPr>
                <w:ilvl w:val="0"/>
                <w:numId w:val="92"/>
              </w:numPr>
              <w:suppressAutoHyphens/>
              <w:spacing w:before="60" w:after="60" w:line="240" w:lineRule="auto"/>
              <w:ind w:left="432"/>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 xml:space="preserve">Nombre de la Asociación en Participación o Consorcio, nombre jurídico de cada miembro: </w:t>
            </w:r>
            <w:r>
              <w:rPr>
                <w:rFonts w:asciiTheme="minorHAnsi" w:hAnsiTheme="minorHAnsi" w:cstheme="minorHAnsi"/>
                <w:i/>
                <w:spacing w:val="-2"/>
                <w:sz w:val="20"/>
                <w:szCs w:val="20"/>
                <w:lang w:val="es-EC"/>
              </w:rPr>
              <w:t xml:space="preserve">[indicar el nombre jurídico de cada miembro de la </w:t>
            </w:r>
            <w:r>
              <w:rPr>
                <w:rFonts w:asciiTheme="minorHAnsi" w:hAnsiTheme="minorHAnsi" w:cstheme="minorHAnsi"/>
                <w:i/>
                <w:iCs/>
                <w:spacing w:val="-2"/>
                <w:sz w:val="20"/>
                <w:szCs w:val="20"/>
                <w:lang w:val="es-EC"/>
              </w:rPr>
              <w:t>Asociación en Participación o Consorcio</w:t>
            </w:r>
            <w:r>
              <w:rPr>
                <w:rFonts w:asciiTheme="minorHAnsi" w:hAnsiTheme="minorHAnsi" w:cstheme="minorHAnsi"/>
                <w:i/>
                <w:spacing w:val="-2"/>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4" w:hRule="atLeast"/>
        </w:trPr>
        <w:tc>
          <w:tcPr>
            <w:tcW w:w="9450" w:type="dxa"/>
            <w:tcBorders>
              <w:left w:val="single" w:color="auto" w:sz="4" w:space="0"/>
            </w:tcBorders>
          </w:tcPr>
          <w:p>
            <w:pPr>
              <w:pStyle w:val="64"/>
              <w:numPr>
                <w:ilvl w:val="0"/>
                <w:numId w:val="92"/>
              </w:numPr>
              <w:suppressAutoHyphens/>
              <w:spacing w:before="60" w:after="60" w:line="240" w:lineRule="auto"/>
              <w:ind w:left="432"/>
              <w:jc w:val="both"/>
              <w:rPr>
                <w:rFonts w:eastAsia="Times New Roman" w:asciiTheme="minorHAnsi" w:hAnsiTheme="minorHAnsi" w:cstheme="minorHAnsi"/>
                <w:b/>
                <w:sz w:val="20"/>
                <w:szCs w:val="20"/>
                <w:lang w:val="es-EC"/>
              </w:rPr>
            </w:pPr>
            <w:r>
              <w:rPr>
                <w:rFonts w:asciiTheme="minorHAnsi" w:hAnsiTheme="minorHAnsi" w:cstheme="minorHAnsi"/>
                <w:spacing w:val="-2"/>
                <w:sz w:val="20"/>
                <w:szCs w:val="20"/>
                <w:lang w:val="es-EC"/>
              </w:rPr>
              <w:t xml:space="preserve">País donde está registrado el Oferente en la actualidad o País donde intenta registrarse </w:t>
            </w:r>
            <w:r>
              <w:rPr>
                <w:rFonts w:asciiTheme="minorHAnsi" w:hAnsiTheme="minorHAnsi" w:cstheme="minorHAnsi"/>
                <w:i/>
                <w:spacing w:val="-2"/>
                <w:sz w:val="20"/>
                <w:szCs w:val="20"/>
                <w:lang w:val="es-EC"/>
              </w:rPr>
              <w:t xml:space="preserve">[indicar el país de ciudadanía del </w:t>
            </w:r>
            <w:r>
              <w:rPr>
                <w:rFonts w:asciiTheme="minorHAnsi" w:hAnsiTheme="minorHAnsi" w:cstheme="minorHAnsi"/>
                <w:i/>
                <w:iCs/>
                <w:spacing w:val="-2"/>
                <w:sz w:val="20"/>
                <w:szCs w:val="20"/>
                <w:lang w:val="es-EC"/>
              </w:rPr>
              <w:t>Oferente</w:t>
            </w:r>
            <w:r>
              <w:rPr>
                <w:rFonts w:asciiTheme="minorHAnsi" w:hAnsiTheme="minorHAnsi" w:cstheme="minorHAnsi"/>
                <w:i/>
                <w:spacing w:val="-2"/>
                <w:sz w:val="20"/>
                <w:szCs w:val="20"/>
                <w:lang w:val="es-EC"/>
              </w:rPr>
              <w:t xml:space="preserve"> en la actualidad o país donde intenta </w:t>
            </w:r>
            <w:r>
              <w:rPr>
                <w:rFonts w:asciiTheme="minorHAnsi" w:hAnsiTheme="minorHAnsi" w:cstheme="minorHAnsi"/>
                <w:i/>
                <w:iCs/>
                <w:spacing w:val="-2"/>
                <w:sz w:val="20"/>
                <w:szCs w:val="20"/>
                <w:lang w:val="es-EC"/>
              </w:rPr>
              <w:t>registrarse</w:t>
            </w:r>
            <w:r>
              <w:rPr>
                <w:rFonts w:asciiTheme="minorHAnsi" w:hAnsiTheme="minorHAnsi" w:cstheme="minorHAnsi"/>
                <w:i/>
                <w:spacing w:val="-2"/>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8" w:hRule="atLeast"/>
        </w:trPr>
        <w:tc>
          <w:tcPr>
            <w:tcW w:w="9450" w:type="dxa"/>
            <w:tcBorders>
              <w:left w:val="single" w:color="auto" w:sz="4" w:space="0"/>
            </w:tcBorders>
          </w:tcPr>
          <w:p>
            <w:pPr>
              <w:pStyle w:val="64"/>
              <w:numPr>
                <w:ilvl w:val="0"/>
                <w:numId w:val="92"/>
              </w:numPr>
              <w:suppressAutoHyphens/>
              <w:spacing w:before="60" w:after="60" w:line="240" w:lineRule="auto"/>
              <w:ind w:left="432"/>
              <w:contextualSpacing w:val="0"/>
              <w:jc w:val="both"/>
              <w:rPr>
                <w:rFonts w:eastAsia="Times New Roman" w:asciiTheme="minorHAnsi" w:hAnsiTheme="minorHAnsi" w:cstheme="minorHAnsi"/>
                <w:b/>
                <w:spacing w:val="-2"/>
                <w:sz w:val="20"/>
                <w:szCs w:val="20"/>
                <w:lang w:val="es-EC"/>
              </w:rPr>
            </w:pPr>
            <w:r>
              <w:rPr>
                <w:rFonts w:asciiTheme="minorHAnsi" w:hAnsiTheme="minorHAnsi" w:cstheme="minorHAnsi"/>
                <w:spacing w:val="-2"/>
                <w:sz w:val="20"/>
                <w:szCs w:val="20"/>
                <w:lang w:val="es-EC"/>
              </w:rPr>
              <w:t xml:space="preserve">Año de registro del Oferente: </w:t>
            </w:r>
            <w:r>
              <w:rPr>
                <w:rFonts w:asciiTheme="minorHAnsi" w:hAnsiTheme="minorHAnsi" w:cstheme="minorHAnsi"/>
                <w:i/>
                <w:spacing w:val="-2"/>
                <w:sz w:val="20"/>
                <w:szCs w:val="20"/>
                <w:lang w:val="es-EC"/>
              </w:rPr>
              <w:t xml:space="preserve">[indicar el año de </w:t>
            </w:r>
            <w:r>
              <w:rPr>
                <w:rFonts w:asciiTheme="minorHAnsi" w:hAnsiTheme="minorHAnsi" w:cstheme="minorHAnsi"/>
                <w:i/>
                <w:iCs/>
                <w:spacing w:val="-2"/>
                <w:sz w:val="20"/>
                <w:szCs w:val="20"/>
                <w:lang w:val="es-EC"/>
              </w:rPr>
              <w:t>registro</w:t>
            </w:r>
            <w:r>
              <w:rPr>
                <w:rFonts w:asciiTheme="minorHAnsi" w:hAnsiTheme="minorHAnsi" w:cstheme="minorHAnsi"/>
                <w:i/>
                <w:spacing w:val="-2"/>
                <w:sz w:val="20"/>
                <w:szCs w:val="20"/>
                <w:lang w:val="es-EC"/>
              </w:rPr>
              <w:t xml:space="preserve"> del </w:t>
            </w:r>
            <w:r>
              <w:rPr>
                <w:rFonts w:asciiTheme="minorHAnsi" w:hAnsiTheme="minorHAnsi" w:cstheme="minorHAnsi"/>
                <w:i/>
                <w:iCs/>
                <w:spacing w:val="-2"/>
                <w:sz w:val="20"/>
                <w:szCs w:val="20"/>
                <w:lang w:val="es-EC"/>
              </w:rPr>
              <w:t>Oferente</w:t>
            </w:r>
            <w:r>
              <w:rPr>
                <w:rFonts w:asciiTheme="minorHAnsi" w:hAnsiTheme="minorHAnsi" w:cstheme="minorHAnsi"/>
                <w:i/>
                <w:spacing w:val="-2"/>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450" w:type="dxa"/>
            <w:tcBorders>
              <w:left w:val="single" w:color="auto" w:sz="4" w:space="0"/>
            </w:tcBorders>
          </w:tcPr>
          <w:p>
            <w:pPr>
              <w:pStyle w:val="64"/>
              <w:numPr>
                <w:ilvl w:val="0"/>
                <w:numId w:val="92"/>
              </w:numPr>
              <w:suppressAutoHyphens/>
              <w:spacing w:before="60" w:after="60" w:line="240" w:lineRule="auto"/>
              <w:ind w:left="432"/>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 xml:space="preserve">Dirección jurídica del Oferente en el país donde está registrado: </w:t>
            </w:r>
            <w:r>
              <w:rPr>
                <w:rFonts w:asciiTheme="minorHAnsi" w:hAnsiTheme="minorHAnsi" w:cstheme="minorHAnsi"/>
                <w:i/>
                <w:spacing w:val="-2"/>
                <w:sz w:val="20"/>
                <w:szCs w:val="20"/>
                <w:lang w:val="es-EC"/>
              </w:rPr>
              <w:t xml:space="preserve">[indicar la Dirección jurídica del </w:t>
            </w:r>
            <w:r>
              <w:rPr>
                <w:rFonts w:asciiTheme="minorHAnsi" w:hAnsiTheme="minorHAnsi" w:cstheme="minorHAnsi"/>
                <w:i/>
                <w:iCs/>
                <w:spacing w:val="-2"/>
                <w:sz w:val="20"/>
                <w:szCs w:val="20"/>
                <w:lang w:val="es-EC"/>
              </w:rPr>
              <w:t>Oferente</w:t>
            </w:r>
            <w:r>
              <w:rPr>
                <w:rFonts w:asciiTheme="minorHAnsi" w:hAnsiTheme="minorHAnsi" w:cstheme="minorHAnsi"/>
                <w:i/>
                <w:spacing w:val="-2"/>
                <w:sz w:val="20"/>
                <w:szCs w:val="20"/>
                <w:lang w:val="es-EC"/>
              </w:rPr>
              <w:t xml:space="preserve"> en el país donde está </w:t>
            </w:r>
            <w:r>
              <w:rPr>
                <w:rFonts w:asciiTheme="minorHAnsi" w:hAnsiTheme="minorHAnsi" w:cstheme="minorHAnsi"/>
                <w:i/>
                <w:iCs/>
                <w:spacing w:val="-2"/>
                <w:sz w:val="20"/>
                <w:szCs w:val="20"/>
                <w:lang w:val="es-EC"/>
              </w:rPr>
              <w:t>registrado</w:t>
            </w:r>
            <w:r>
              <w:rPr>
                <w:rFonts w:asciiTheme="minorHAnsi" w:hAnsiTheme="minorHAnsi" w:cstheme="minorHAnsi"/>
                <w:i/>
                <w:spacing w:val="-2"/>
                <w:sz w:val="20"/>
                <w:szCs w:val="20"/>
                <w:lang w:val="es-EC"/>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450" w:type="dxa"/>
          </w:tcPr>
          <w:p>
            <w:pPr>
              <w:pStyle w:val="64"/>
              <w:numPr>
                <w:ilvl w:val="0"/>
                <w:numId w:val="92"/>
              </w:numPr>
              <w:suppressAutoHyphens/>
              <w:spacing w:before="60" w:after="60" w:line="240" w:lineRule="auto"/>
              <w:ind w:left="432"/>
              <w:jc w:val="both"/>
              <w:rPr>
                <w:rFonts w:asciiTheme="minorHAnsi" w:hAnsiTheme="minorHAnsi" w:cstheme="minorHAnsi"/>
                <w:spacing w:val="-2"/>
                <w:sz w:val="20"/>
                <w:szCs w:val="20"/>
                <w:lang w:val="es-EC"/>
              </w:rPr>
            </w:pPr>
            <w:r>
              <w:rPr>
                <w:rFonts w:asciiTheme="minorHAnsi" w:hAnsiTheme="minorHAnsi" w:cstheme="minorHAnsi"/>
                <w:spacing w:val="-2"/>
                <w:sz w:val="20"/>
                <w:szCs w:val="20"/>
                <w:lang w:val="es-EC"/>
              </w:rPr>
              <w:t>Información del representante autorizado del Oferente:</w:t>
            </w:r>
          </w:p>
          <w:p>
            <w:pPr>
              <w:suppressAutoHyphens/>
              <w:spacing w:after="120" w:line="240" w:lineRule="auto"/>
              <w:ind w:left="360" w:hanging="360"/>
              <w:jc w:val="both"/>
              <w:rPr>
                <w:rFonts w:asciiTheme="minorHAnsi" w:hAnsiTheme="minorHAnsi" w:cstheme="minorHAnsi"/>
                <w:i/>
                <w:spacing w:val="-2"/>
                <w:sz w:val="20"/>
                <w:szCs w:val="20"/>
                <w:lang w:val="es-EC"/>
              </w:rPr>
            </w:pPr>
            <w:r>
              <w:rPr>
                <w:rFonts w:asciiTheme="minorHAnsi" w:hAnsiTheme="minorHAnsi" w:cstheme="minorHAnsi"/>
                <w:spacing w:val="-2"/>
                <w:sz w:val="20"/>
                <w:szCs w:val="20"/>
                <w:lang w:val="es-EC"/>
              </w:rPr>
              <w:tab/>
            </w:r>
            <w:r>
              <w:rPr>
                <w:rFonts w:asciiTheme="minorHAnsi" w:hAnsiTheme="minorHAnsi" w:cstheme="minorHAnsi"/>
                <w:spacing w:val="-2"/>
                <w:sz w:val="20"/>
                <w:szCs w:val="20"/>
                <w:lang w:val="es-EC"/>
              </w:rPr>
              <w:t xml:space="preserve">Nombre: </w:t>
            </w:r>
            <w:r>
              <w:rPr>
                <w:rFonts w:asciiTheme="minorHAnsi" w:hAnsiTheme="minorHAnsi" w:cstheme="minorHAnsi"/>
                <w:i/>
                <w:spacing w:val="-2"/>
                <w:sz w:val="20"/>
                <w:szCs w:val="20"/>
                <w:lang w:val="es-EC"/>
              </w:rPr>
              <w:t>[indicar el nombre del representante autorizado]</w:t>
            </w:r>
          </w:p>
          <w:p>
            <w:pPr>
              <w:suppressAutoHyphens/>
              <w:spacing w:after="120" w:line="240" w:lineRule="auto"/>
              <w:ind w:left="360" w:hanging="360"/>
              <w:jc w:val="both"/>
              <w:rPr>
                <w:rFonts w:asciiTheme="minorHAnsi" w:hAnsiTheme="minorHAnsi" w:cstheme="minorHAnsi"/>
                <w:i/>
                <w:spacing w:val="-2"/>
                <w:sz w:val="20"/>
                <w:szCs w:val="20"/>
                <w:lang w:val="es-EC"/>
              </w:rPr>
            </w:pPr>
            <w:r>
              <w:rPr>
                <w:rFonts w:asciiTheme="minorHAnsi" w:hAnsiTheme="minorHAnsi" w:cstheme="minorHAnsi"/>
                <w:spacing w:val="-2"/>
                <w:sz w:val="20"/>
                <w:szCs w:val="20"/>
                <w:lang w:val="es-EC"/>
              </w:rPr>
              <w:tab/>
            </w:r>
            <w:r>
              <w:rPr>
                <w:rFonts w:asciiTheme="minorHAnsi" w:hAnsiTheme="minorHAnsi" w:cstheme="minorHAnsi"/>
                <w:spacing w:val="-2"/>
                <w:sz w:val="20"/>
                <w:szCs w:val="20"/>
                <w:lang w:val="es-EC"/>
              </w:rPr>
              <w:t>Dirección:</w:t>
            </w:r>
            <w:r>
              <w:rPr>
                <w:rFonts w:asciiTheme="minorHAnsi" w:hAnsiTheme="minorHAnsi" w:cstheme="minorHAnsi"/>
                <w:i/>
                <w:spacing w:val="-2"/>
                <w:sz w:val="20"/>
                <w:szCs w:val="20"/>
                <w:lang w:val="es-EC"/>
              </w:rPr>
              <w:t>[indicar la dirección del representante autorizado]</w:t>
            </w:r>
          </w:p>
          <w:p>
            <w:pPr>
              <w:suppressAutoHyphens/>
              <w:spacing w:after="120" w:line="240" w:lineRule="auto"/>
              <w:ind w:left="360" w:hanging="18"/>
              <w:jc w:val="both"/>
              <w:rPr>
                <w:rFonts w:asciiTheme="minorHAnsi" w:hAnsiTheme="minorHAnsi" w:cstheme="minorHAnsi"/>
                <w:i/>
                <w:spacing w:val="-2"/>
                <w:sz w:val="20"/>
                <w:szCs w:val="20"/>
                <w:lang w:val="es-EC"/>
              </w:rPr>
            </w:pPr>
            <w:r>
              <w:rPr>
                <w:rFonts w:asciiTheme="minorHAnsi" w:hAnsiTheme="minorHAnsi" w:cstheme="minorHAnsi"/>
                <w:spacing w:val="-2"/>
                <w:sz w:val="20"/>
                <w:szCs w:val="20"/>
                <w:lang w:val="es-EC"/>
              </w:rPr>
              <w:t>Números de teléfono y facsímile</w:t>
            </w:r>
            <w:r>
              <w:rPr>
                <w:rFonts w:asciiTheme="minorHAnsi" w:hAnsiTheme="minorHAnsi" w:cstheme="minorHAnsi"/>
                <w:i/>
                <w:spacing w:val="-2"/>
                <w:sz w:val="20"/>
                <w:szCs w:val="20"/>
                <w:lang w:val="es-EC"/>
              </w:rPr>
              <w:t>: [indicar los números de teléfono y facsímile del representante autorizado]</w:t>
            </w:r>
          </w:p>
          <w:p>
            <w:pPr>
              <w:suppressAutoHyphens/>
              <w:spacing w:after="120" w:line="240" w:lineRule="auto"/>
              <w:ind w:left="360" w:hanging="18"/>
              <w:jc w:val="both"/>
              <w:rPr>
                <w:rFonts w:asciiTheme="minorHAnsi" w:hAnsiTheme="minorHAnsi" w:cstheme="minorHAnsi"/>
                <w:i/>
                <w:spacing w:val="-2"/>
                <w:sz w:val="20"/>
                <w:szCs w:val="20"/>
                <w:lang w:val="es-EC"/>
              </w:rPr>
            </w:pPr>
            <w:r>
              <w:rPr>
                <w:rFonts w:asciiTheme="minorHAnsi" w:hAnsiTheme="minorHAnsi" w:cstheme="minorHAnsi"/>
                <w:spacing w:val="-2"/>
                <w:sz w:val="20"/>
                <w:szCs w:val="20"/>
                <w:lang w:val="es-EC"/>
              </w:rPr>
              <w:t xml:space="preserve">Dirección de correo electrónico: </w:t>
            </w:r>
            <w:r>
              <w:rPr>
                <w:rFonts w:asciiTheme="minorHAnsi" w:hAnsiTheme="minorHAnsi" w:cstheme="minorHAnsi"/>
                <w:i/>
                <w:spacing w:val="-2"/>
                <w:sz w:val="20"/>
                <w:szCs w:val="20"/>
                <w:lang w:val="es-EC"/>
              </w:rPr>
              <w:t>[indicar la dirección de correo electrónico del representante autorizado]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450" w:type="dxa"/>
          </w:tcPr>
          <w:p>
            <w:pPr>
              <w:pStyle w:val="64"/>
              <w:numPr>
                <w:ilvl w:val="0"/>
                <w:numId w:val="92"/>
              </w:numPr>
              <w:suppressAutoHyphens/>
              <w:spacing w:before="60" w:after="60" w:line="240" w:lineRule="auto"/>
              <w:ind w:left="432"/>
              <w:contextualSpacing w:val="0"/>
              <w:jc w:val="both"/>
              <w:rPr>
                <w:rFonts w:eastAsia="Times New Roman" w:asciiTheme="minorHAnsi" w:hAnsiTheme="minorHAnsi" w:cstheme="minorHAnsi"/>
                <w:i/>
                <w:spacing w:val="-2"/>
                <w:sz w:val="20"/>
                <w:szCs w:val="20"/>
                <w:lang w:val="es-EC"/>
              </w:rPr>
            </w:pPr>
            <w:r>
              <w:rPr>
                <w:rFonts w:asciiTheme="minorHAnsi" w:hAnsiTheme="minorHAnsi" w:cstheme="minorHAnsi"/>
                <w:spacing w:val="-2"/>
                <w:sz w:val="20"/>
                <w:szCs w:val="20"/>
                <w:lang w:val="es-EC"/>
              </w:rPr>
              <w:t xml:space="preserve">Se adjuntan copias de los documentos originales de: </w:t>
            </w:r>
            <w:r>
              <w:rPr>
                <w:rFonts w:asciiTheme="minorHAnsi" w:hAnsiTheme="minorHAnsi" w:cstheme="minorHAnsi"/>
                <w:i/>
                <w:spacing w:val="-2"/>
                <w:sz w:val="20"/>
                <w:szCs w:val="20"/>
                <w:lang w:val="es-EC"/>
              </w:rPr>
              <w:t>[marcar la(s) casilla(s) de los documentos originales adjuntos]</w:t>
            </w:r>
          </w:p>
          <w:p>
            <w:pPr>
              <w:numPr>
                <w:ilvl w:val="0"/>
                <w:numId w:val="91"/>
              </w:numPr>
              <w:suppressAutoHyphens/>
              <w:spacing w:before="60" w:after="60" w:line="240" w:lineRule="auto"/>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Estatutos de la Sociedad o Registro de la empresa indicada en el párrafo1 anterior, y de conformidad con las Subcláusulas 4.1 y 4.2  de las IAO.</w:t>
            </w:r>
          </w:p>
          <w:p>
            <w:pPr>
              <w:numPr>
                <w:ilvl w:val="0"/>
                <w:numId w:val="91"/>
              </w:numPr>
              <w:suppressAutoHyphens/>
              <w:spacing w:before="60" w:after="60" w:line="240" w:lineRule="auto"/>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Si se trata de una Asociación en Participación o Consorcio, carta de intención de formar la Asociación en Participación o el Consorcio, o el Convenio de Asociación en Participación o del Consorcio, de conformidad con la Subcláusula 4.1 de las IAO.</w:t>
            </w:r>
          </w:p>
          <w:p>
            <w:pPr>
              <w:numPr>
                <w:ilvl w:val="0"/>
                <w:numId w:val="91"/>
              </w:numPr>
              <w:suppressAutoHyphens/>
              <w:spacing w:before="60" w:after="60" w:line="240" w:lineRule="auto"/>
              <w:jc w:val="both"/>
              <w:rPr>
                <w:rFonts w:eastAsia="Times New Roman" w:asciiTheme="minorHAnsi" w:hAnsiTheme="minorHAnsi" w:cstheme="minorHAnsi"/>
                <w:spacing w:val="-2"/>
                <w:sz w:val="20"/>
                <w:szCs w:val="20"/>
                <w:lang w:val="es-EC"/>
              </w:rPr>
            </w:pPr>
            <w:r>
              <w:rPr>
                <w:rFonts w:asciiTheme="minorHAnsi" w:hAnsiTheme="minorHAnsi" w:cstheme="minorHAnsi"/>
                <w:spacing w:val="-2"/>
                <w:sz w:val="20"/>
                <w:szCs w:val="20"/>
                <w:lang w:val="es-EC"/>
              </w:rPr>
              <w:t>Si se trata de un ente gubernamental del país del Comprador, documentación que acredite su autonomía jurídica y financiera y el cumplimiento con las leyes comerciales, de conformidad con la Subcláusula 4.5 de las IAO.</w:t>
            </w:r>
          </w:p>
        </w:tc>
      </w:tr>
    </w:tbl>
    <w:p>
      <w:pPr>
        <w:jc w:val="center"/>
        <w:rPr>
          <w:rFonts w:eastAsia="Times New Roman" w:asciiTheme="minorHAnsi" w:hAnsiTheme="minorHAnsi" w:cstheme="minorHAnsi"/>
          <w:b/>
          <w:bCs/>
          <w:sz w:val="20"/>
          <w:szCs w:val="20"/>
          <w:lang w:val="es-EC"/>
        </w:rPr>
      </w:pPr>
      <w:r>
        <w:rPr>
          <w:rFonts w:eastAsia="Times New Roman" w:asciiTheme="minorHAnsi" w:hAnsiTheme="minorHAnsi" w:cstheme="minorHAnsi"/>
          <w:sz w:val="20"/>
          <w:szCs w:val="20"/>
          <w:lang w:val="es-EC"/>
        </w:rPr>
        <w:br w:type="page"/>
      </w:r>
      <w:bookmarkEnd w:id="305"/>
      <w:bookmarkEnd w:id="306"/>
      <w:bookmarkStart w:id="307" w:name="_Toc478103472"/>
      <w:r>
        <w:rPr>
          <w:rFonts w:eastAsia="Times New Roman" w:asciiTheme="minorHAnsi" w:hAnsiTheme="minorHAnsi" w:cstheme="minorHAnsi"/>
          <w:b/>
          <w:bCs/>
          <w:sz w:val="20"/>
          <w:szCs w:val="20"/>
          <w:lang w:val="es-EC"/>
        </w:rPr>
        <w:t>Formulario de Presentación de Oferta</w:t>
      </w:r>
      <w:bookmarkEnd w:id="307"/>
    </w:p>
    <w:p>
      <w:pPr>
        <w:spacing w:before="60" w:after="60" w:line="240" w:lineRule="auto"/>
        <w:jc w:val="both"/>
        <w:rPr>
          <w:rFonts w:eastAsia="Times New Roman" w:asciiTheme="minorHAnsi" w:hAnsiTheme="minorHAnsi" w:cstheme="minorHAnsi"/>
          <w:i/>
          <w:iCs/>
          <w:sz w:val="20"/>
          <w:szCs w:val="20"/>
          <w:lang w:val="es-EC"/>
        </w:rPr>
      </w:pPr>
    </w:p>
    <w:p>
      <w:pPr>
        <w:spacing w:before="60" w:after="60" w:line="240" w:lineRule="auto"/>
        <w:jc w:val="both"/>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[El Oferente completará este formulario de acuerdo con las instrucciones indicadas. No se permitirán alteraciones a este formulario ni se aceptarán substituciones.]</w:t>
      </w:r>
    </w:p>
    <w:p>
      <w:pPr>
        <w:spacing w:before="60" w:after="60" w:line="240" w:lineRule="auto"/>
        <w:jc w:val="both"/>
        <w:rPr>
          <w:rFonts w:eastAsia="Times New Roman" w:asciiTheme="minorHAnsi" w:hAnsiTheme="minorHAnsi" w:cstheme="minorHAnsi"/>
          <w:i/>
          <w:iCs/>
          <w:sz w:val="20"/>
          <w:szCs w:val="20"/>
          <w:lang w:val="es-EC"/>
        </w:rPr>
      </w:pPr>
    </w:p>
    <w:p>
      <w:pPr>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Fecha: </w:t>
      </w:r>
      <w:r>
        <w:rPr>
          <w:rFonts w:eastAsia="Times New Roman" w:asciiTheme="minorHAnsi" w:hAnsiTheme="minorHAnsi" w:cstheme="minorHAnsi"/>
          <w:i/>
          <w:sz w:val="20"/>
          <w:szCs w:val="20"/>
          <w:lang w:val="es-EC"/>
        </w:rPr>
        <w:t>[indicar la fecha (día, mes y año) de la presentación de la oferta</w:t>
      </w:r>
      <w:r>
        <w:rPr>
          <w:rFonts w:eastAsia="Times New Roman" w:asciiTheme="minorHAnsi" w:hAnsiTheme="minorHAnsi" w:cstheme="minorHAnsi"/>
          <w:sz w:val="20"/>
          <w:szCs w:val="20"/>
          <w:lang w:val="es-EC"/>
        </w:rPr>
        <w:t xml:space="preserve">] </w:t>
      </w:r>
    </w:p>
    <w:p>
      <w:pPr>
        <w:tabs>
          <w:tab w:val="right" w:pos="9360"/>
        </w:tabs>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LPI No.: </w:t>
      </w:r>
      <w:r>
        <w:rPr>
          <w:rFonts w:eastAsia="Times New Roman" w:asciiTheme="minorHAnsi" w:hAnsiTheme="minorHAnsi" w:cstheme="minorHAnsi"/>
          <w:i/>
          <w:sz w:val="20"/>
          <w:szCs w:val="20"/>
          <w:lang w:val="es-EC"/>
        </w:rPr>
        <w:t>[indicar el número del proceso licitatorio]</w:t>
      </w:r>
    </w:p>
    <w:p>
      <w:pPr>
        <w:tabs>
          <w:tab w:val="right" w:pos="9360"/>
        </w:tabs>
        <w:spacing w:before="60" w:after="60" w:line="240" w:lineRule="auto"/>
        <w:ind w:left="504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Llamado a la Licitación No.: </w:t>
      </w:r>
      <w:r>
        <w:rPr>
          <w:rFonts w:eastAsia="Times New Roman" w:asciiTheme="minorHAnsi" w:hAnsiTheme="minorHAnsi" w:cstheme="minorHAnsi"/>
          <w:i/>
          <w:iCs/>
          <w:sz w:val="20"/>
          <w:szCs w:val="20"/>
          <w:lang w:val="es-EC"/>
        </w:rPr>
        <w:t>[indicar el No. del Llamado]</w:t>
      </w:r>
    </w:p>
    <w:p>
      <w:pPr>
        <w:tabs>
          <w:tab w:val="right" w:pos="9360"/>
        </w:tabs>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Alternativa No.: </w:t>
      </w:r>
      <w:r>
        <w:rPr>
          <w:rFonts w:eastAsia="Times New Roman" w:asciiTheme="minorHAnsi" w:hAnsiTheme="minorHAnsi" w:cstheme="minorHAnsi"/>
          <w:i/>
          <w:iCs/>
          <w:sz w:val="20"/>
          <w:szCs w:val="20"/>
          <w:lang w:val="es-EC"/>
        </w:rPr>
        <w:t>[indicar el número de identificación si esta es una oferta alternativa]</w:t>
      </w:r>
    </w:p>
    <w:p>
      <w:pPr>
        <w:spacing w:before="60" w:after="60" w:line="240" w:lineRule="auto"/>
        <w:rPr>
          <w:rFonts w:eastAsia="Times New Roman" w:asciiTheme="minorHAnsi" w:hAnsiTheme="minorHAnsi" w:cstheme="minorHAnsi"/>
          <w:sz w:val="20"/>
          <w:szCs w:val="20"/>
          <w:lang w:val="es-EC"/>
        </w:rPr>
      </w:pPr>
    </w:p>
    <w:p>
      <w:pPr>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A:</w:t>
      </w:r>
      <w:r>
        <w:rPr>
          <w:rFonts w:eastAsia="Times New Roman" w:asciiTheme="minorHAnsi" w:hAnsiTheme="minorHAnsi" w:cstheme="minorHAnsi"/>
          <w:i/>
          <w:sz w:val="20"/>
          <w:szCs w:val="20"/>
          <w:lang w:val="es-EC"/>
        </w:rPr>
        <w:t xml:space="preserve"> [nombre completo del Comprador]</w:t>
      </w:r>
    </w:p>
    <w:p>
      <w:pPr>
        <w:spacing w:before="60" w:after="60" w:line="240" w:lineRule="auto"/>
        <w:rPr>
          <w:rFonts w:eastAsia="Times New Roman" w:asciiTheme="minorHAnsi" w:hAnsiTheme="minorHAnsi" w:cstheme="minorHAnsi"/>
          <w:sz w:val="20"/>
          <w:szCs w:val="20"/>
          <w:lang w:val="es-EC"/>
        </w:rPr>
      </w:pPr>
    </w:p>
    <w:p>
      <w:pPr>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Nosotros, los suscritos, declaramos que: </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Hemos examinado y no hallamos objeción alguna a los documentos de licitación, incluso sus Enmiendas Nos. </w:t>
      </w:r>
      <w:r>
        <w:rPr>
          <w:rFonts w:asciiTheme="minorHAnsi" w:hAnsiTheme="minorHAnsi" w:cstheme="minorHAnsi"/>
          <w:i/>
          <w:sz w:val="20"/>
          <w:szCs w:val="20"/>
          <w:lang w:val="es-EC"/>
        </w:rPr>
        <w:t>[indicar el número y la fecha de emisión de cada Enmienda]</w:t>
      </w:r>
      <w:r>
        <w:rPr>
          <w:rFonts w:eastAsia="Times New Roman" w:asciiTheme="minorHAnsi" w:hAnsiTheme="minorHAnsi" w:cstheme="minorHAnsi"/>
          <w:i/>
          <w:sz w:val="20"/>
          <w:szCs w:val="20"/>
          <w:lang w:val="es-EC"/>
        </w:rPr>
        <w:t>;</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Ofrecemos proveer los siguientes Bienes y Servicios Conexos de conformidad con los Documentos de Licitación y de acuerdo con el Plan de Entregas establecido en la Lista de Bienes: </w:t>
      </w:r>
      <w:r>
        <w:rPr>
          <w:rFonts w:eastAsia="Times New Roman" w:asciiTheme="minorHAnsi" w:hAnsiTheme="minorHAnsi" w:cstheme="minorHAnsi"/>
          <w:i/>
          <w:sz w:val="20"/>
          <w:szCs w:val="20"/>
          <w:lang w:val="es-EC"/>
        </w:rPr>
        <w:t>[indicar una breve descripción de los Bienes y Servicios relacionados];</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El precio total de nuestra oferta, excluyendo cualquier descuento ofrecido en el rubro (d) a continuación es: </w:t>
      </w:r>
      <w:r>
        <w:rPr>
          <w:rFonts w:asciiTheme="minorHAnsi" w:hAnsiTheme="minorHAnsi" w:cstheme="minorHAnsi"/>
          <w:i/>
          <w:sz w:val="20"/>
          <w:szCs w:val="20"/>
          <w:lang w:val="es-EC"/>
        </w:rPr>
        <w:t>[indicar el precio total de la oferta en palabras y en cifras, indicando las cifras respectivas en diferentes monedas];</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Los descuentos ofrecidos y la metodología para su aplicación son</w:t>
      </w:r>
      <w:r>
        <w:rPr>
          <w:rFonts w:eastAsia="Times New Roman" w:asciiTheme="minorHAnsi" w:hAnsiTheme="minorHAnsi" w:cstheme="minorHAnsi"/>
          <w:sz w:val="20"/>
          <w:szCs w:val="20"/>
          <w:lang w:val="es-EC"/>
        </w:rPr>
        <w:t>:</w:t>
      </w:r>
    </w:p>
    <w:p>
      <w:pPr>
        <w:spacing w:before="60" w:after="60" w:line="240" w:lineRule="auto"/>
        <w:ind w:left="720"/>
        <w:jc w:val="both"/>
        <w:rPr>
          <w:rFonts w:eastAsia="Times New Roman" w:asciiTheme="minorHAnsi" w:hAnsiTheme="minorHAnsi" w:cstheme="minorHAnsi"/>
          <w:sz w:val="20"/>
          <w:szCs w:val="20"/>
          <w:lang w:val="es-EC"/>
        </w:rPr>
      </w:pPr>
      <w:r>
        <w:rPr>
          <w:rFonts w:asciiTheme="minorHAnsi" w:hAnsiTheme="minorHAnsi" w:cstheme="minorHAnsi"/>
          <w:b/>
          <w:sz w:val="20"/>
          <w:szCs w:val="20"/>
          <w:lang w:val="es-EC"/>
        </w:rPr>
        <w:t xml:space="preserve">Descuentos. </w:t>
      </w:r>
      <w:r>
        <w:rPr>
          <w:rFonts w:asciiTheme="minorHAnsi" w:hAnsiTheme="minorHAnsi" w:cstheme="minorHAnsi"/>
          <w:sz w:val="20"/>
          <w:szCs w:val="20"/>
          <w:lang w:val="es-EC"/>
        </w:rPr>
        <w:t xml:space="preserve">Si nuestra oferta es aceptada, los siguientes descuentos serán aplicables: </w:t>
      </w:r>
      <w:r>
        <w:rPr>
          <w:rFonts w:asciiTheme="minorHAnsi" w:hAnsiTheme="minorHAnsi" w:cstheme="minorHAnsi"/>
          <w:i/>
          <w:sz w:val="20"/>
          <w:szCs w:val="20"/>
          <w:lang w:val="es-EC"/>
        </w:rPr>
        <w:t>[detallar cada descuento ofrecido y el artículo específico en la Lista de Bienes al que aplica el descuento]</w:t>
      </w:r>
      <w:r>
        <w:rPr>
          <w:rFonts w:asciiTheme="minorHAnsi" w:hAnsiTheme="minorHAnsi" w:cstheme="minorHAnsi"/>
          <w:sz w:val="20"/>
          <w:szCs w:val="20"/>
          <w:lang w:val="es-EC"/>
        </w:rPr>
        <w:t>.</w:t>
      </w:r>
    </w:p>
    <w:p>
      <w:pPr>
        <w:tabs>
          <w:tab w:val="left" w:pos="540"/>
          <w:tab w:val="left" w:pos="720"/>
        </w:tabs>
        <w:spacing w:before="60" w:after="60" w:line="240" w:lineRule="auto"/>
        <w:ind w:left="720"/>
        <w:jc w:val="both"/>
        <w:rPr>
          <w:rFonts w:eastAsia="Times New Roman" w:asciiTheme="minorHAnsi" w:hAnsiTheme="minorHAnsi" w:cstheme="minorHAnsi"/>
          <w:i/>
          <w:sz w:val="20"/>
          <w:szCs w:val="20"/>
          <w:lang w:val="es-EC"/>
        </w:rPr>
      </w:pPr>
      <w:r>
        <w:rPr>
          <w:rFonts w:asciiTheme="minorHAnsi" w:hAnsiTheme="minorHAnsi" w:cstheme="minorHAnsi"/>
          <w:b/>
          <w:sz w:val="20"/>
          <w:szCs w:val="20"/>
          <w:lang w:val="es-EC"/>
        </w:rPr>
        <w:t xml:space="preserve">Metodología y Aplicación de los Descuentos. </w:t>
      </w:r>
      <w:r>
        <w:rPr>
          <w:rFonts w:asciiTheme="minorHAnsi" w:hAnsiTheme="minorHAnsi" w:cstheme="minorHAnsi"/>
          <w:sz w:val="20"/>
          <w:szCs w:val="20"/>
          <w:lang w:val="es-EC"/>
        </w:rPr>
        <w:t xml:space="preserve">Los descuentos se aplicarán de acuerdo a la siguiente metodología: </w:t>
      </w:r>
      <w:r>
        <w:rPr>
          <w:rFonts w:asciiTheme="minorHAnsi" w:hAnsiTheme="minorHAnsi" w:cstheme="minorHAnsi"/>
          <w:i/>
          <w:iCs/>
          <w:sz w:val="20"/>
          <w:szCs w:val="20"/>
          <w:lang w:val="es-EC"/>
        </w:rPr>
        <w:t>[detallar</w:t>
      </w:r>
      <w:r>
        <w:rPr>
          <w:rFonts w:asciiTheme="minorHAnsi" w:hAnsiTheme="minorHAnsi" w:cstheme="minorHAnsi"/>
          <w:i/>
          <w:sz w:val="20"/>
          <w:szCs w:val="20"/>
          <w:lang w:val="es-EC"/>
        </w:rPr>
        <w:t xml:space="preserve"> la metodología que se  aplicará a los descuentos];</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r>
        <w:rPr>
          <w:rFonts w:eastAsia="Times New Roman" w:asciiTheme="minorHAnsi" w:hAnsiTheme="minorHAnsi" w:cstheme="minorHAnsi"/>
          <w:sz w:val="20"/>
          <w:szCs w:val="20"/>
          <w:lang w:val="es-EC"/>
        </w:rPr>
        <w:t>;</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Si nuestra oferta es aceptada, nos comprometemos a obtener una Garantía de Cumplimiento del Contrato de conformidad con la Cláusula 44 de las IAO y Cláusula 18 de las CGC</w:t>
      </w:r>
      <w:r>
        <w:rPr>
          <w:rFonts w:eastAsia="Times New Roman" w:asciiTheme="minorHAnsi" w:hAnsiTheme="minorHAnsi" w:cstheme="minorHAnsi"/>
          <w:sz w:val="20"/>
          <w:szCs w:val="20"/>
          <w:lang w:val="es-EC"/>
        </w:rPr>
        <w:t>;</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Los suscritos, incluyendo todos los subcontratistas o proveedores requeridos para ejecutar cualquier parte del Contrato, tenemos nacionalidad de países elegibles </w:t>
      </w:r>
      <w:r>
        <w:rPr>
          <w:rFonts w:asciiTheme="minorHAnsi" w:hAnsiTheme="minorHAnsi" w:cstheme="minorHAnsi"/>
          <w:i/>
          <w:sz w:val="20"/>
          <w:szCs w:val="20"/>
          <w:lang w:val="es-EC"/>
        </w:rPr>
        <w:t xml:space="preserve">[indicar la nacionalidad del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incluso la de todos los miembros que comprende 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si 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es una </w:t>
      </w:r>
      <w:r>
        <w:rPr>
          <w:rFonts w:asciiTheme="minorHAnsi" w:hAnsiTheme="minorHAnsi" w:cstheme="minorHAnsi"/>
          <w:i/>
          <w:iCs/>
          <w:sz w:val="20"/>
          <w:szCs w:val="20"/>
          <w:lang w:val="es-EC"/>
        </w:rPr>
        <w:t>Asociación en Participación o Consorcio</w:t>
      </w:r>
      <w:r>
        <w:rPr>
          <w:rFonts w:asciiTheme="minorHAnsi" w:hAnsiTheme="minorHAnsi" w:cstheme="minorHAnsi"/>
          <w:i/>
          <w:sz w:val="20"/>
          <w:szCs w:val="20"/>
          <w:lang w:val="es-EC"/>
        </w:rPr>
        <w:t>, y la nacionalidad de cada subcontratista y proveedor]</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No tenemos conflicto de intereses de conformidad con la Subcláusula 4.2 de las IAO;</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Nuestra empresa, sus afiliados o subsidiarias, incluyendo todos los subcontratistas o proveedores para ejecutar cualquier parte del Contrato, no han sido declarados inelegibles por el Banco, bajo las leyes del país del Comprador o normativas oficiales, de conformidad con la Subcláusula 4.3 de las IAO;</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No tenemos ninguna sanción del Banco o de alguna otra Institución Financiera Internacional (IFI).</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Usaremos nuestros mejores esfuerzos para asistir al Banco en investigaciones</w:t>
      </w:r>
      <w:r>
        <w:rPr>
          <w:rFonts w:eastAsia="Times New Roman" w:asciiTheme="minorHAnsi" w:hAnsiTheme="minorHAnsi" w:cstheme="minorHAnsi"/>
          <w:sz w:val="20"/>
          <w:szCs w:val="20"/>
          <w:lang w:val="es-EC"/>
        </w:rPr>
        <w:t>.</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Nos comprometemos que dentro del proceso de selección (y en caso de resultar adjudicatarios, en la ejecución) del contrato, a observar las leyes sobre fraude y corrupción, incluyendo soborno, aplicables en el país del cliente.</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Las siguientes comisiones, gratificaciones u honorarios han sido pagados o serán pagados en relación con el proceso de esta licitación o ejecución del Contrato: </w:t>
      </w:r>
      <w:r>
        <w:rPr>
          <w:rFonts w:asciiTheme="minorHAnsi" w:hAnsiTheme="minorHAnsi" w:cstheme="minorHAnsi"/>
          <w:i/>
          <w:sz w:val="20"/>
          <w:szCs w:val="20"/>
          <w:lang w:val="es-EC"/>
        </w:rPr>
        <w:t>[indicar el nombre completo de cada receptor, su dirección completa, la razón por la cual se pagó cada comisión o gratificación y la cantidad y moneda de cada dicha comisión o gratificación]</w:t>
      </w:r>
    </w:p>
    <w:p>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rPr>
          <w:rFonts w:eastAsia="Times New Roman" w:asciiTheme="minorHAnsi" w:hAnsiTheme="minorHAnsi" w:cstheme="minorHAnsi"/>
          <w:sz w:val="20"/>
          <w:szCs w:val="20"/>
          <w:lang w:val="es-EC"/>
        </w:rPr>
      </w:pPr>
    </w:p>
    <w:tbl>
      <w:tblPr>
        <w:tblStyle w:val="46"/>
        <w:tblW w:w="8748"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2250"/>
        <w:gridCol w:w="207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80" w:type="dxa"/>
            <w:tcBorders>
              <w:top w:val="nil"/>
              <w:left w:val="nil"/>
              <w:bottom w:val="nil"/>
              <w:right w:val="nil"/>
            </w:tcBorders>
          </w:tcPr>
          <w:p>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Nombre del Receptor </w:t>
            </w:r>
          </w:p>
        </w:tc>
        <w:tc>
          <w:tcPr>
            <w:tcW w:w="2250" w:type="dxa"/>
            <w:tcBorders>
              <w:top w:val="nil"/>
              <w:left w:val="nil"/>
              <w:bottom w:val="nil"/>
              <w:right w:val="nil"/>
            </w:tcBorders>
          </w:tcPr>
          <w:p>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Dirección</w:t>
            </w:r>
          </w:p>
        </w:tc>
        <w:tc>
          <w:tcPr>
            <w:tcW w:w="2070" w:type="dxa"/>
            <w:tcBorders>
              <w:top w:val="nil"/>
              <w:left w:val="nil"/>
              <w:bottom w:val="nil"/>
              <w:right w:val="nil"/>
            </w:tcBorders>
          </w:tcPr>
          <w:p>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Concepto</w:t>
            </w:r>
          </w:p>
        </w:tc>
        <w:tc>
          <w:tcPr>
            <w:tcW w:w="1548" w:type="dxa"/>
            <w:tcBorders>
              <w:top w:val="nil"/>
              <w:left w:val="nil"/>
              <w:bottom w:val="nil"/>
              <w:right w:val="nil"/>
            </w:tcBorders>
          </w:tcPr>
          <w:p>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Monto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80" w:type="dxa"/>
            <w:tcBorders>
              <w:top w:val="nil"/>
              <w:left w:val="nil"/>
              <w:bottom w:val="nil"/>
              <w:right w:val="nil"/>
            </w:tcBorders>
          </w:tcPr>
          <w:p>
            <w:pPr>
              <w:tabs>
                <w:tab w:val="right" w:pos="259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2250" w:type="dxa"/>
            <w:tcBorders>
              <w:top w:val="nil"/>
              <w:left w:val="nil"/>
              <w:bottom w:val="nil"/>
              <w:right w:val="nil"/>
            </w:tcBorders>
          </w:tcPr>
          <w:p>
            <w:pPr>
              <w:tabs>
                <w:tab w:val="right" w:pos="196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2070" w:type="dxa"/>
            <w:tcBorders>
              <w:top w:val="nil"/>
              <w:left w:val="nil"/>
              <w:bottom w:val="nil"/>
              <w:right w:val="nil"/>
            </w:tcBorders>
          </w:tcPr>
          <w:p>
            <w:pPr>
              <w:tabs>
                <w:tab w:val="right" w:pos="178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1548" w:type="dxa"/>
            <w:tcBorders>
              <w:top w:val="nil"/>
              <w:left w:val="nil"/>
              <w:bottom w:val="nil"/>
              <w:right w:val="nil"/>
            </w:tcBorders>
          </w:tcPr>
          <w:p>
            <w:pPr>
              <w:tabs>
                <w:tab w:val="right" w:pos="124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80" w:type="dxa"/>
            <w:tcBorders>
              <w:top w:val="nil"/>
              <w:left w:val="nil"/>
              <w:bottom w:val="nil"/>
              <w:right w:val="nil"/>
            </w:tcBorders>
          </w:tcPr>
          <w:p>
            <w:pPr>
              <w:tabs>
                <w:tab w:val="right" w:pos="259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2250" w:type="dxa"/>
            <w:tcBorders>
              <w:top w:val="nil"/>
              <w:left w:val="nil"/>
              <w:bottom w:val="nil"/>
              <w:right w:val="nil"/>
            </w:tcBorders>
          </w:tcPr>
          <w:p>
            <w:pPr>
              <w:tabs>
                <w:tab w:val="right" w:pos="196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2070" w:type="dxa"/>
            <w:tcBorders>
              <w:top w:val="nil"/>
              <w:left w:val="nil"/>
              <w:bottom w:val="nil"/>
              <w:right w:val="nil"/>
            </w:tcBorders>
          </w:tcPr>
          <w:p>
            <w:pPr>
              <w:tabs>
                <w:tab w:val="right" w:pos="178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1548" w:type="dxa"/>
            <w:tcBorders>
              <w:top w:val="nil"/>
              <w:left w:val="nil"/>
              <w:bottom w:val="nil"/>
              <w:right w:val="nil"/>
            </w:tcBorders>
          </w:tcPr>
          <w:p>
            <w:pPr>
              <w:tabs>
                <w:tab w:val="right" w:pos="124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80" w:type="dxa"/>
            <w:tcBorders>
              <w:top w:val="nil"/>
              <w:left w:val="nil"/>
              <w:bottom w:val="nil"/>
              <w:right w:val="nil"/>
            </w:tcBorders>
          </w:tcPr>
          <w:p>
            <w:pPr>
              <w:tabs>
                <w:tab w:val="right" w:pos="259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2250" w:type="dxa"/>
            <w:tcBorders>
              <w:top w:val="nil"/>
              <w:left w:val="nil"/>
              <w:bottom w:val="nil"/>
              <w:right w:val="nil"/>
            </w:tcBorders>
          </w:tcPr>
          <w:p>
            <w:pPr>
              <w:tabs>
                <w:tab w:val="right" w:pos="196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2070" w:type="dxa"/>
            <w:tcBorders>
              <w:top w:val="nil"/>
              <w:left w:val="nil"/>
              <w:bottom w:val="nil"/>
              <w:right w:val="nil"/>
            </w:tcBorders>
          </w:tcPr>
          <w:p>
            <w:pPr>
              <w:tabs>
                <w:tab w:val="right" w:pos="178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1548" w:type="dxa"/>
            <w:tcBorders>
              <w:top w:val="nil"/>
              <w:left w:val="nil"/>
              <w:bottom w:val="nil"/>
              <w:right w:val="nil"/>
            </w:tcBorders>
          </w:tcPr>
          <w:p>
            <w:pPr>
              <w:tabs>
                <w:tab w:val="right" w:pos="124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80" w:type="dxa"/>
            <w:tcBorders>
              <w:top w:val="nil"/>
              <w:left w:val="nil"/>
              <w:bottom w:val="nil"/>
              <w:right w:val="nil"/>
            </w:tcBorders>
          </w:tcPr>
          <w:p>
            <w:pPr>
              <w:tabs>
                <w:tab w:val="right" w:pos="259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2250" w:type="dxa"/>
            <w:tcBorders>
              <w:top w:val="nil"/>
              <w:left w:val="nil"/>
              <w:bottom w:val="nil"/>
              <w:right w:val="nil"/>
            </w:tcBorders>
          </w:tcPr>
          <w:p>
            <w:pPr>
              <w:tabs>
                <w:tab w:val="right" w:pos="196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2070" w:type="dxa"/>
            <w:tcBorders>
              <w:top w:val="nil"/>
              <w:left w:val="nil"/>
              <w:bottom w:val="nil"/>
              <w:right w:val="nil"/>
            </w:tcBorders>
          </w:tcPr>
          <w:p>
            <w:pPr>
              <w:tabs>
                <w:tab w:val="right" w:pos="178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c>
          <w:tcPr>
            <w:tcW w:w="1548" w:type="dxa"/>
            <w:tcBorders>
              <w:top w:val="nil"/>
              <w:left w:val="nil"/>
              <w:bottom w:val="nil"/>
              <w:right w:val="nil"/>
            </w:tcBorders>
          </w:tcPr>
          <w:p>
            <w:pPr>
              <w:tabs>
                <w:tab w:val="right" w:pos="1242"/>
              </w:tabs>
              <w:spacing w:before="60" w:after="60" w:line="240" w:lineRule="auto"/>
              <w:rPr>
                <w:rFonts w:eastAsia="Times New Roman" w:asciiTheme="minorHAnsi" w:hAnsiTheme="minorHAnsi" w:cstheme="minorHAnsi"/>
                <w:sz w:val="20"/>
                <w:szCs w:val="20"/>
                <w:u w:val="single"/>
                <w:lang w:val="es-EC"/>
              </w:rPr>
            </w:pPr>
            <w:r>
              <w:rPr>
                <w:rFonts w:eastAsia="Times New Roman" w:asciiTheme="minorHAnsi" w:hAnsiTheme="minorHAnsi" w:cstheme="minorHAnsi"/>
                <w:sz w:val="20"/>
                <w:szCs w:val="20"/>
                <w:u w:val="single"/>
                <w:lang w:val="es-EC"/>
              </w:rPr>
              <w:tab/>
            </w:r>
          </w:p>
        </w:tc>
      </w:tr>
    </w:tbl>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rPr>
          <w:rFonts w:eastAsia="Times New Roman" w:asciiTheme="minorHAnsi" w:hAnsiTheme="minorHAnsi" w:cstheme="minorHAnsi"/>
          <w:sz w:val="20"/>
          <w:szCs w:val="20"/>
          <w:lang w:val="es-EC"/>
        </w:rPr>
      </w:pPr>
    </w:p>
    <w:p>
      <w:pPr>
        <w:tabs>
          <w:tab w:val="left" w:pos="-1440"/>
          <w:tab w:val="left" w:pos="-720"/>
          <w:tab w:val="left" w:pos="513"/>
          <w:tab w:val="left" w:pos="540"/>
        </w:tabs>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ab/>
      </w:r>
      <w:r>
        <w:rPr>
          <w:rFonts w:asciiTheme="minorHAnsi" w:hAnsiTheme="minorHAnsi" w:cstheme="minorHAnsi"/>
          <w:sz w:val="20"/>
          <w:szCs w:val="20"/>
          <w:lang w:val="es-EC"/>
        </w:rPr>
        <w:t>(Si no han sido pagadas o no serán pagadas, indicar “ninguna”.)</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Entendemos que esta oferta, junto con su debida aceptación por escrito incluida en la notificación de adjudicación, constituirán una obligación contractual entre nosotros, hasta que el Contrato formal haya sido perfeccionado por las partes.</w:t>
      </w:r>
    </w:p>
    <w:p>
      <w:pPr>
        <w:numPr>
          <w:ilvl w:val="0"/>
          <w:numId w:val="93"/>
        </w:numPr>
        <w:spacing w:before="60" w:after="60" w:line="240" w:lineRule="auto"/>
        <w:ind w:left="360"/>
        <w:jc w:val="both"/>
        <w:rPr>
          <w:rFonts w:eastAsia="Times New Roman" w:asciiTheme="minorHAnsi" w:hAnsiTheme="minorHAnsi" w:cstheme="minorHAnsi"/>
          <w:sz w:val="20"/>
          <w:szCs w:val="20"/>
          <w:lang w:val="es-EC"/>
        </w:rPr>
      </w:pPr>
      <w:r>
        <w:rPr>
          <w:rFonts w:asciiTheme="minorHAnsi" w:hAnsiTheme="minorHAnsi" w:cstheme="minorHAnsi"/>
          <w:sz w:val="20"/>
          <w:szCs w:val="20"/>
          <w:lang w:val="es-EC"/>
        </w:rPr>
        <w:t>Entendemos que ustedes no están obligados a aceptar la oferta evaluada más baja ni ninguna otra oferta que reciban.</w:t>
      </w:r>
    </w:p>
    <w:p>
      <w:pPr>
        <w:suppressAutoHyphens/>
        <w:jc w:val="both"/>
        <w:rPr>
          <w:rFonts w:asciiTheme="minorHAnsi" w:hAnsiTheme="minorHAnsi" w:cstheme="minorHAnsi"/>
          <w:sz w:val="20"/>
          <w:szCs w:val="20"/>
          <w:lang w:val="es-EC"/>
        </w:rPr>
      </w:pPr>
    </w:p>
    <w:p>
      <w:pPr>
        <w:suppressAutoHyphens/>
        <w:spacing w:after="120" w:line="240" w:lineRule="auto"/>
        <w:jc w:val="both"/>
        <w:rPr>
          <w:rFonts w:asciiTheme="minorHAnsi" w:hAnsiTheme="minorHAnsi" w:cstheme="minorHAnsi"/>
          <w:i/>
          <w:iCs/>
          <w:sz w:val="20"/>
          <w:szCs w:val="20"/>
          <w:lang w:val="es-EC"/>
        </w:rPr>
      </w:pPr>
      <w:r>
        <w:rPr>
          <w:rFonts w:asciiTheme="minorHAnsi" w:hAnsiTheme="minorHAnsi" w:cstheme="minorHAnsi"/>
          <w:sz w:val="20"/>
          <w:szCs w:val="20"/>
          <w:lang w:val="es-EC"/>
        </w:rPr>
        <w:t xml:space="preserve">Firma: </w:t>
      </w:r>
      <w:r>
        <w:rPr>
          <w:rFonts w:asciiTheme="minorHAnsi" w:hAnsiTheme="minorHAnsi" w:cstheme="minorHAnsi"/>
          <w:i/>
          <w:sz w:val="20"/>
          <w:szCs w:val="20"/>
          <w:lang w:val="es-EC"/>
        </w:rPr>
        <w:t xml:space="preserve">[indicar el nombre completo de la persona cuyo nombre y calidad se indican] </w:t>
      </w:r>
    </w:p>
    <w:p>
      <w:pPr>
        <w:suppressAutoHyphens/>
        <w:spacing w:after="120" w:line="240" w:lineRule="auto"/>
        <w:jc w:val="both"/>
        <w:rPr>
          <w:rFonts w:asciiTheme="minorHAnsi" w:hAnsiTheme="minorHAnsi" w:cstheme="minorHAnsi"/>
          <w:i/>
          <w:sz w:val="20"/>
          <w:szCs w:val="20"/>
          <w:lang w:val="es-EC"/>
        </w:rPr>
      </w:pPr>
      <w:r>
        <w:rPr>
          <w:rFonts w:asciiTheme="minorHAnsi" w:hAnsiTheme="minorHAnsi" w:cstheme="minorHAnsi"/>
          <w:sz w:val="20"/>
          <w:szCs w:val="20"/>
          <w:lang w:val="es-EC"/>
        </w:rPr>
        <w:t xml:space="preserve">En calidad de </w:t>
      </w:r>
      <w:r>
        <w:rPr>
          <w:rFonts w:asciiTheme="minorHAnsi" w:hAnsiTheme="minorHAnsi" w:cstheme="minorHAnsi"/>
          <w:i/>
          <w:sz w:val="20"/>
          <w:szCs w:val="20"/>
          <w:lang w:val="es-EC"/>
        </w:rPr>
        <w:t xml:space="preserve">[indicar la </w:t>
      </w:r>
      <w:r>
        <w:rPr>
          <w:rFonts w:asciiTheme="minorHAnsi" w:hAnsiTheme="minorHAnsi" w:cstheme="minorHAnsi"/>
          <w:i/>
          <w:iCs/>
          <w:sz w:val="20"/>
          <w:szCs w:val="20"/>
          <w:lang w:val="es-EC"/>
        </w:rPr>
        <w:t>capacidad</w:t>
      </w:r>
      <w:r>
        <w:rPr>
          <w:rFonts w:asciiTheme="minorHAnsi" w:hAnsiTheme="minorHAnsi" w:cstheme="minorHAnsi"/>
          <w:i/>
          <w:sz w:val="20"/>
          <w:szCs w:val="20"/>
          <w:lang w:val="es-EC"/>
        </w:rPr>
        <w:t xml:space="preserve"> jurídica de la persona que firma el Formulario de la Oferta] </w:t>
      </w:r>
    </w:p>
    <w:p>
      <w:pPr>
        <w:suppressAutoHyphens/>
        <w:spacing w:after="120" w:line="240" w:lineRule="auto"/>
        <w:jc w:val="both"/>
        <w:rPr>
          <w:rFonts w:asciiTheme="minorHAnsi" w:hAnsiTheme="minorHAnsi" w:cstheme="minorHAnsi"/>
          <w:sz w:val="20"/>
          <w:szCs w:val="20"/>
          <w:lang w:val="es-EC"/>
        </w:rPr>
      </w:pPr>
    </w:p>
    <w:p>
      <w:pPr>
        <w:suppressAutoHyphens/>
        <w:spacing w:after="120" w:line="240" w:lineRule="auto"/>
        <w:jc w:val="both"/>
        <w:rPr>
          <w:rFonts w:asciiTheme="minorHAnsi" w:hAnsiTheme="minorHAnsi" w:cstheme="minorHAnsi"/>
          <w:i/>
          <w:sz w:val="20"/>
          <w:szCs w:val="20"/>
          <w:lang w:val="es-EC"/>
        </w:rPr>
      </w:pPr>
      <w:r>
        <w:rPr>
          <w:rFonts w:asciiTheme="minorHAnsi" w:hAnsiTheme="minorHAnsi" w:cstheme="minorHAnsi"/>
          <w:sz w:val="20"/>
          <w:szCs w:val="20"/>
          <w:lang w:val="es-EC"/>
        </w:rPr>
        <w:t xml:space="preserve">Nombre: </w:t>
      </w:r>
      <w:r>
        <w:rPr>
          <w:rFonts w:asciiTheme="minorHAnsi" w:hAnsiTheme="minorHAnsi" w:cstheme="minorHAnsi"/>
          <w:i/>
          <w:sz w:val="20"/>
          <w:szCs w:val="20"/>
          <w:lang w:val="es-EC"/>
        </w:rPr>
        <w:t xml:space="preserve">[indicar el nombre completo de la persona que firma el Formulario de la Oferta] </w:t>
      </w:r>
    </w:p>
    <w:p>
      <w:pPr>
        <w:suppressAutoHyphens/>
        <w:spacing w:after="120" w:line="240" w:lineRule="auto"/>
        <w:jc w:val="both"/>
        <w:rPr>
          <w:rFonts w:asciiTheme="minorHAnsi" w:hAnsiTheme="minorHAnsi" w:cstheme="minorHAnsi"/>
          <w:i/>
          <w:sz w:val="20"/>
          <w:szCs w:val="20"/>
          <w:lang w:val="es-EC"/>
        </w:rPr>
      </w:pPr>
      <w:r>
        <w:rPr>
          <w:rFonts w:asciiTheme="minorHAnsi" w:hAnsiTheme="minorHAnsi" w:cstheme="minorHAnsi"/>
          <w:sz w:val="20"/>
          <w:szCs w:val="20"/>
          <w:lang w:val="es-EC"/>
        </w:rPr>
        <w:t xml:space="preserve">Debidamente autorizado para firmar la oferta por y en nombre de: </w:t>
      </w:r>
      <w:r>
        <w:rPr>
          <w:rFonts w:asciiTheme="minorHAnsi" w:hAnsiTheme="minorHAnsi" w:cstheme="minorHAnsi"/>
          <w:i/>
          <w:sz w:val="20"/>
          <w:szCs w:val="20"/>
          <w:lang w:val="es-EC"/>
        </w:rPr>
        <w:t xml:space="preserve">[indicar el nombre completo del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w:t>
      </w:r>
    </w:p>
    <w:p>
      <w:pPr>
        <w:suppressAutoHyphens/>
        <w:spacing w:after="120" w:line="240" w:lineRule="auto"/>
        <w:jc w:val="both"/>
        <w:rPr>
          <w:rFonts w:asciiTheme="minorHAnsi" w:hAnsiTheme="minorHAnsi" w:cstheme="minorHAnsi"/>
          <w:i/>
          <w:sz w:val="20"/>
          <w:szCs w:val="20"/>
          <w:lang w:val="es-EC"/>
        </w:rPr>
      </w:pPr>
      <w:r>
        <w:rPr>
          <w:rFonts w:asciiTheme="minorHAnsi" w:hAnsiTheme="minorHAnsi" w:cstheme="minorHAnsi"/>
          <w:sz w:val="20"/>
          <w:szCs w:val="20"/>
          <w:lang w:val="es-EC"/>
        </w:rPr>
        <w:t xml:space="preserve">El día </w:t>
      </w:r>
      <w:r>
        <w:rPr>
          <w:rFonts w:asciiTheme="minorHAnsi" w:hAnsiTheme="minorHAnsi" w:cstheme="minorHAnsi"/>
          <w:i/>
          <w:sz w:val="20"/>
          <w:szCs w:val="20"/>
          <w:lang w:val="es-EC"/>
        </w:rPr>
        <w:t>[indicar la fecha de la firma]</w:t>
      </w:r>
    </w:p>
    <w:p>
      <w:pPr>
        <w:spacing w:before="60" w:after="60" w:line="240" w:lineRule="auto"/>
        <w:jc w:val="both"/>
        <w:rPr>
          <w:rFonts w:eastAsia="Times New Roman" w:asciiTheme="minorHAnsi" w:hAnsiTheme="minorHAnsi" w:cstheme="minorHAnsi"/>
          <w:sz w:val="20"/>
          <w:szCs w:val="20"/>
          <w:lang w:val="es-EC"/>
        </w:rPr>
      </w:pPr>
    </w:p>
    <w:p>
      <w:pPr>
        <w:spacing w:before="60" w:after="60" w:line="240" w:lineRule="auto"/>
        <w:rPr>
          <w:rFonts w:eastAsia="Times New Roman" w:asciiTheme="minorHAnsi" w:hAnsiTheme="minorHAnsi" w:cstheme="minorHAnsi"/>
          <w:b/>
          <w:bCs/>
          <w:sz w:val="20"/>
          <w:szCs w:val="20"/>
          <w:lang w:val="es-EC"/>
        </w:rPr>
        <w:sectPr>
          <w:headerReference r:id="rId10" w:type="default"/>
          <w:pgSz w:w="12240" w:h="15840"/>
          <w:pgMar w:top="1440" w:right="1440" w:bottom="1440" w:left="1440" w:header="720" w:footer="720" w:gutter="0"/>
          <w:cols w:space="720" w:num="1"/>
          <w:docGrid w:linePitch="360" w:charSpace="0"/>
        </w:sect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bookmarkStart w:id="308" w:name="_Toc478103473"/>
      <w:r>
        <w:rPr>
          <w:rFonts w:eastAsia="Times New Roman" w:asciiTheme="minorHAnsi" w:hAnsiTheme="minorHAnsi" w:cstheme="minorHAnsi"/>
          <w:b/>
          <w:bCs/>
          <w:sz w:val="20"/>
          <w:szCs w:val="20"/>
          <w:lang w:val="es-EC"/>
        </w:rPr>
        <w:t>FORMULARIOS DE LISTAS DE PRECIOS</w:t>
      </w:r>
      <w:bookmarkEnd w:id="308"/>
    </w:p>
    <w:p>
      <w:pPr>
        <w:spacing w:before="60" w:after="60" w:line="240" w:lineRule="auto"/>
        <w:jc w:val="center"/>
        <w:rPr>
          <w:rFonts w:eastAsia="Times New Roman" w:asciiTheme="minorHAnsi" w:hAnsiTheme="minorHAnsi" w:cstheme="minorHAnsi"/>
          <w:b/>
          <w:sz w:val="20"/>
          <w:szCs w:val="20"/>
          <w:lang w:val="es-EC"/>
        </w:rPr>
      </w:pPr>
    </w:p>
    <w:p>
      <w:pPr>
        <w:numPr>
          <w:ilvl w:val="12"/>
          <w:numId w:val="0"/>
        </w:numPr>
        <w:suppressAutoHyphens/>
        <w:spacing w:line="240" w:lineRule="auto"/>
        <w:jc w:val="both"/>
        <w:rPr>
          <w:rFonts w:asciiTheme="minorHAnsi" w:hAnsiTheme="minorHAnsi" w:cstheme="minorHAnsi"/>
          <w:i/>
          <w:sz w:val="20"/>
          <w:szCs w:val="20"/>
          <w:lang w:val="es-EC"/>
        </w:rPr>
      </w:pPr>
      <w:r>
        <w:rPr>
          <w:rFonts w:asciiTheme="minorHAnsi" w:hAnsiTheme="minorHAnsi" w:cstheme="minorHAnsi"/>
          <w:i/>
          <w:sz w:val="20"/>
          <w:szCs w:val="20"/>
          <w:lang w:val="es-EC"/>
        </w:rPr>
        <w:t xml:space="preserve">[El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completará estos formularios de Listas de Precios de acuerdo con las instrucciones indicadas.  La lista de artículos y lotes en la columna 1 de la </w:t>
      </w:r>
      <w:r>
        <w:rPr>
          <w:rFonts w:asciiTheme="minorHAnsi" w:hAnsiTheme="minorHAnsi" w:cstheme="minorHAnsi"/>
          <w:b/>
          <w:i/>
          <w:sz w:val="20"/>
          <w:szCs w:val="20"/>
          <w:lang w:val="es-EC"/>
        </w:rPr>
        <w:t>Lista de Precios</w:t>
      </w:r>
      <w:r>
        <w:rPr>
          <w:rFonts w:asciiTheme="minorHAnsi" w:hAnsiTheme="minorHAnsi" w:cstheme="minorHAnsi"/>
          <w:i/>
          <w:sz w:val="20"/>
          <w:szCs w:val="20"/>
          <w:lang w:val="es-EC"/>
        </w:rPr>
        <w:t xml:space="preserve"> deberá coincidir con la Lista de Bienes y Servicios Conexos detallada por el Comprador en los Requisitos de los Bienes y Servicios.]</w:t>
      </w:r>
    </w:p>
    <w:p>
      <w:pPr>
        <w:numPr>
          <w:ilvl w:val="12"/>
          <w:numId w:val="0"/>
        </w:numPr>
        <w:suppressAutoHyphens/>
        <w:spacing w:line="240" w:lineRule="auto"/>
        <w:jc w:val="both"/>
        <w:rPr>
          <w:rFonts w:asciiTheme="minorHAnsi" w:hAnsiTheme="minorHAnsi" w:cstheme="minorHAnsi"/>
          <w:i/>
          <w:sz w:val="20"/>
          <w:szCs w:val="20"/>
          <w:lang w:val="es-EC"/>
        </w:rPr>
      </w:pPr>
      <w:r>
        <w:rPr>
          <w:rFonts w:asciiTheme="minorHAnsi" w:hAnsiTheme="minorHAnsi" w:cstheme="minorHAnsi"/>
          <w:b/>
          <w:i/>
          <w:sz w:val="20"/>
          <w:szCs w:val="20"/>
          <w:lang w:val="es-EC"/>
        </w:rPr>
        <w:t>Nota:</w:t>
      </w:r>
      <w:r>
        <w:rPr>
          <w:rFonts w:asciiTheme="minorHAnsi" w:hAnsiTheme="minorHAnsi" w:cstheme="minorHAnsi"/>
          <w:i/>
          <w:sz w:val="20"/>
          <w:szCs w:val="20"/>
          <w:lang w:val="es-EC"/>
        </w:rPr>
        <w:t xml:space="preserve"> El precio de los bienes deberá prever los costos indirectos de nacionalización, transporte interno de los bienes, distribución, instalación, puesta en servicio y garantía técnica para cada lote ofertado. </w:t>
      </w:r>
    </w:p>
    <w:tbl>
      <w:tblPr>
        <w:tblStyle w:val="46"/>
        <w:tblW w:w="13230" w:type="dxa"/>
        <w:tblInd w:w="-108"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
      <w:tblGrid>
        <w:gridCol w:w="720"/>
        <w:gridCol w:w="1800"/>
        <w:gridCol w:w="1710"/>
        <w:gridCol w:w="1890"/>
        <w:gridCol w:w="2250"/>
        <w:gridCol w:w="1350"/>
        <w:gridCol w:w="990"/>
        <w:gridCol w:w="2520"/>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140" w:hRule="atLeast"/>
        </w:trPr>
        <w:tc>
          <w:tcPr>
            <w:tcW w:w="13230" w:type="dxa"/>
            <w:gridSpan w:val="8"/>
            <w:tcBorders>
              <w:top w:val="nil"/>
              <w:left w:val="nil"/>
              <w:bottom w:val="double" w:color="auto" w:sz="4" w:space="0"/>
              <w:right w:val="nil"/>
            </w:tcBorders>
          </w:tcPr>
          <w:p>
            <w:pPr>
              <w:keepNext/>
              <w:keepLines/>
              <w:spacing w:before="240" w:after="0" w:line="240" w:lineRule="auto"/>
              <w:jc w:val="center"/>
              <w:outlineLvl w:val="1"/>
              <w:rPr>
                <w:rFonts w:eastAsia="Times New Roman" w:asciiTheme="minorHAnsi" w:hAnsiTheme="minorHAnsi" w:cstheme="minorHAnsi"/>
                <w:b/>
                <w:sz w:val="20"/>
                <w:szCs w:val="20"/>
                <w:lang w:val="es-EC"/>
              </w:rPr>
            </w:pPr>
            <w:bookmarkStart w:id="309" w:name="_Toc478103474"/>
            <w:bookmarkStart w:id="310" w:name="_Toc317173254"/>
            <w:bookmarkStart w:id="311" w:name="_Toc106181169"/>
            <w:r>
              <w:rPr>
                <w:rFonts w:eastAsia="Times New Roman" w:asciiTheme="minorHAnsi" w:hAnsiTheme="minorHAnsi" w:cstheme="minorHAnsi"/>
                <w:b/>
                <w:bCs/>
                <w:sz w:val="20"/>
                <w:szCs w:val="20"/>
                <w:lang w:val="es-EC"/>
              </w:rPr>
              <w:t>Lista de Precios: Bienes fabricados fuera del país del Comprador que deben ser importados</w:t>
            </w:r>
            <w:bookmarkEnd w:id="309"/>
            <w:bookmarkEnd w:id="310"/>
            <w:bookmarkEnd w:id="311"/>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1251" w:hRule="atLeast"/>
        </w:trPr>
        <w:tc>
          <w:tcPr>
            <w:tcW w:w="4230" w:type="dxa"/>
            <w:gridSpan w:val="3"/>
            <w:tcBorders>
              <w:top w:val="double" w:color="auto" w:sz="4" w:space="0"/>
              <w:left w:val="double" w:color="auto" w:sz="4" w:space="0"/>
              <w:bottom w:val="double" w:color="auto" w:sz="4" w:space="0"/>
              <w:right w:val="nil"/>
            </w:tcBorders>
          </w:tcPr>
          <w:p>
            <w:pPr>
              <w:suppressAutoHyphens/>
              <w:spacing w:after="0" w:line="240" w:lineRule="auto"/>
              <w:jc w:val="center"/>
              <w:rPr>
                <w:rFonts w:eastAsia="Times New Roman" w:asciiTheme="minorHAnsi" w:hAnsiTheme="minorHAnsi" w:cstheme="minorHAnsi"/>
                <w:sz w:val="20"/>
                <w:szCs w:val="20"/>
                <w:lang w:val="es-EC"/>
              </w:rPr>
            </w:pPr>
          </w:p>
        </w:tc>
        <w:tc>
          <w:tcPr>
            <w:tcW w:w="5490" w:type="dxa"/>
            <w:gridSpan w:val="3"/>
            <w:tcBorders>
              <w:top w:val="double" w:color="auto" w:sz="4" w:space="0"/>
              <w:left w:val="nil"/>
              <w:bottom w:val="double" w:color="auto" w:sz="4" w:space="0"/>
              <w:right w:val="nil"/>
            </w:tcBorders>
          </w:tcPr>
          <w:p>
            <w:pPr>
              <w:suppressAutoHyphens/>
              <w:spacing w:before="240"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(Ofertas del Grupo C, bienes que deben ser importados)</w:t>
            </w:r>
          </w:p>
          <w:p>
            <w:pPr>
              <w:suppressAutoHyphens/>
              <w:spacing w:before="240"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Monedas de acuerdo con la Subcláusula IAO 15</w:t>
            </w:r>
          </w:p>
        </w:tc>
        <w:tc>
          <w:tcPr>
            <w:tcW w:w="3510" w:type="dxa"/>
            <w:gridSpan w:val="2"/>
            <w:tcBorders>
              <w:top w:val="double" w:color="auto" w:sz="4" w:space="0"/>
              <w:left w:val="nil"/>
              <w:bottom w:val="double" w:color="auto" w:sz="4" w:space="0"/>
              <w:right w:val="double" w:color="auto" w:sz="4" w:space="0"/>
            </w:tcBorders>
          </w:tcPr>
          <w:p>
            <w:pPr>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Fecha:_________________________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LPI No: _______________________</w:t>
            </w:r>
          </w:p>
          <w:p>
            <w:pPr>
              <w:suppressAutoHyphens/>
              <w:spacing w:after="0" w:line="240" w:lineRule="auto"/>
              <w:jc w:val="right"/>
              <w:rPr>
                <w:rFonts w:eastAsia="Times New Roman" w:asciiTheme="minorHAnsi" w:hAnsiTheme="minorHAnsi" w:cstheme="minorHAnsi"/>
                <w:sz w:val="20"/>
                <w:szCs w:val="20"/>
                <w:lang w:val="es-EC"/>
              </w:rPr>
            </w:pP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Alternativa No: 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Página N</w:t>
            </w:r>
            <w:r>
              <w:rPr>
                <w:rFonts w:eastAsia="Times New Roman" w:asciiTheme="minorHAnsi" w:hAnsiTheme="minorHAnsi" w:cstheme="minorHAnsi"/>
                <w:sz w:val="20"/>
                <w:szCs w:val="20"/>
                <w:lang w:val="es-EC"/>
              </w:rPr>
              <w:sym w:font="Symbol" w:char="F0B0"/>
            </w:r>
            <w:r>
              <w:rPr>
                <w:rFonts w:eastAsia="Times New Roman" w:asciiTheme="minorHAnsi" w:hAnsiTheme="minorHAnsi" w:cstheme="minorHAnsi"/>
                <w:sz w:val="20"/>
                <w:szCs w:val="20"/>
                <w:lang w:val="es-EC"/>
              </w:rPr>
              <w:t xml:space="preserve"> ___ de___</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Pr>
        <w:tc>
          <w:tcPr>
            <w:tcW w:w="720" w:type="dxa"/>
            <w:tcBorders>
              <w:top w:val="double" w:color="auto" w:sz="4"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1</w:t>
            </w:r>
          </w:p>
        </w:tc>
        <w:tc>
          <w:tcPr>
            <w:tcW w:w="1800" w:type="dxa"/>
            <w:tcBorders>
              <w:top w:val="double" w:color="auto" w:sz="4"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2</w:t>
            </w:r>
          </w:p>
        </w:tc>
        <w:tc>
          <w:tcPr>
            <w:tcW w:w="1710" w:type="dxa"/>
            <w:tcBorders>
              <w:top w:val="double" w:color="auto" w:sz="4"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3</w:t>
            </w:r>
          </w:p>
        </w:tc>
        <w:tc>
          <w:tcPr>
            <w:tcW w:w="1890" w:type="dxa"/>
            <w:tcBorders>
              <w:top w:val="double" w:color="auto" w:sz="4"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4</w:t>
            </w:r>
          </w:p>
        </w:tc>
        <w:tc>
          <w:tcPr>
            <w:tcW w:w="2250" w:type="dxa"/>
            <w:tcBorders>
              <w:top w:val="double" w:color="auto" w:sz="4"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5</w:t>
            </w:r>
          </w:p>
        </w:tc>
        <w:tc>
          <w:tcPr>
            <w:tcW w:w="2340" w:type="dxa"/>
            <w:gridSpan w:val="2"/>
            <w:tcBorders>
              <w:top w:val="double" w:color="auto" w:sz="4"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6</w:t>
            </w:r>
          </w:p>
        </w:tc>
        <w:tc>
          <w:tcPr>
            <w:tcW w:w="2520" w:type="dxa"/>
            <w:tcBorders>
              <w:top w:val="double" w:color="auto" w:sz="4" w:space="0"/>
              <w:left w:val="single" w:color="auto" w:sz="6" w:space="0"/>
              <w:bottom w:val="doub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72" w:type="dxa"/>
            <w:bottom w:w="0" w:type="dxa"/>
            <w:right w:w="72" w:type="dxa"/>
          </w:tblCellMar>
        </w:tblPrEx>
        <w:trPr>
          <w:cantSplit/>
          <w:trHeight w:val="1458" w:hRule="atLeast"/>
        </w:trPr>
        <w:tc>
          <w:tcPr>
            <w:tcW w:w="720" w:type="dxa"/>
            <w:tcBorders>
              <w:top w:val="double" w:color="auto" w:sz="6" w:space="0"/>
              <w:left w:val="doub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N</w:t>
            </w:r>
            <w:r>
              <w:rPr>
                <w:rFonts w:eastAsia="Times New Roman" w:asciiTheme="minorHAnsi" w:hAnsiTheme="minorHAnsi" w:cstheme="minorHAnsi"/>
                <w:sz w:val="20"/>
                <w:szCs w:val="20"/>
                <w:lang w:val="es-EC"/>
              </w:rPr>
              <w:sym w:font="Symbol" w:char="F0B0"/>
            </w:r>
            <w:r>
              <w:rPr>
                <w:rFonts w:eastAsia="Times New Roman" w:asciiTheme="minorHAnsi" w:hAnsiTheme="minorHAnsi" w:cstheme="minorHAnsi"/>
                <w:sz w:val="20"/>
                <w:szCs w:val="20"/>
                <w:lang w:val="es-EC"/>
              </w:rPr>
              <w:t xml:space="preserve"> de artículo</w:t>
            </w:r>
          </w:p>
        </w:tc>
        <w:tc>
          <w:tcPr>
            <w:tcW w:w="1800" w:type="dxa"/>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Descripción de los Bienes </w:t>
            </w:r>
          </w:p>
        </w:tc>
        <w:tc>
          <w:tcPr>
            <w:tcW w:w="1710" w:type="dxa"/>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País de Origen</w:t>
            </w:r>
          </w:p>
        </w:tc>
        <w:tc>
          <w:tcPr>
            <w:tcW w:w="1890" w:type="dxa"/>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Fecha de Entrega según la definición de los Incoterms</w:t>
            </w:r>
          </w:p>
        </w:tc>
        <w:tc>
          <w:tcPr>
            <w:tcW w:w="2250" w:type="dxa"/>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Cantidad y Unidad Física </w:t>
            </w:r>
          </w:p>
        </w:tc>
        <w:tc>
          <w:tcPr>
            <w:tcW w:w="2340" w:type="dxa"/>
            <w:gridSpan w:val="2"/>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Precio Unitario</w:t>
            </w:r>
          </w:p>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CIP </w:t>
            </w:r>
            <w:r>
              <w:rPr>
                <w:rFonts w:eastAsia="Times New Roman" w:asciiTheme="minorHAnsi" w:hAnsiTheme="minorHAnsi" w:cstheme="minorHAnsi"/>
                <w:i/>
                <w:iCs/>
                <w:sz w:val="20"/>
                <w:szCs w:val="20"/>
                <w:lang w:val="es-EC"/>
              </w:rPr>
              <w:t>[indicar lugar de destino convenido]</w:t>
            </w:r>
          </w:p>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De acuerdo con IAO 14.6(b)(i)</w:t>
            </w:r>
          </w:p>
        </w:tc>
        <w:tc>
          <w:tcPr>
            <w:tcW w:w="2520" w:type="dxa"/>
            <w:tcBorders>
              <w:top w:val="double" w:color="auto" w:sz="6" w:space="0"/>
              <w:left w:val="single" w:color="auto" w:sz="6" w:space="0"/>
              <w:bottom w:val="single" w:color="auto" w:sz="6" w:space="0"/>
              <w:right w:val="doub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Precio CIP por artículo </w:t>
            </w:r>
          </w:p>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(Col. 5x6)</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390" w:hRule="atLeast"/>
        </w:trPr>
        <w:tc>
          <w:tcPr>
            <w:tcW w:w="720" w:type="dxa"/>
            <w:tcBorders>
              <w:top w:val="single" w:color="auto" w:sz="6" w:space="0"/>
              <w:left w:val="double" w:color="auto" w:sz="6" w:space="0"/>
              <w:bottom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asciiTheme="minorHAnsi" w:hAnsiTheme="minorHAnsi" w:cstheme="minorHAnsi"/>
                <w:i/>
                <w:sz w:val="20"/>
                <w:szCs w:val="20"/>
                <w:lang w:val="es-EC"/>
              </w:rPr>
              <w:t>[indicar el no. del artículo]</w:t>
            </w:r>
          </w:p>
        </w:tc>
        <w:tc>
          <w:tcPr>
            <w:tcW w:w="1800" w:type="dxa"/>
            <w:tcBorders>
              <w:top w:val="single" w:color="auto" w:sz="6" w:space="0"/>
              <w:left w:val="single" w:color="auto" w:sz="6" w:space="0"/>
              <w:bottom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[indicar el nombre de los Bienes]</w:t>
            </w:r>
          </w:p>
        </w:tc>
        <w:tc>
          <w:tcPr>
            <w:tcW w:w="1710" w:type="dxa"/>
            <w:tcBorders>
              <w:top w:val="single" w:color="auto" w:sz="6" w:space="0"/>
              <w:left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[indicar el país de origen de los Bienes]</w:t>
            </w:r>
          </w:p>
        </w:tc>
        <w:tc>
          <w:tcPr>
            <w:tcW w:w="1890" w:type="dxa"/>
            <w:tcBorders>
              <w:top w:val="single" w:color="auto" w:sz="6" w:space="0"/>
              <w:left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asciiTheme="minorHAnsi" w:hAnsiTheme="minorHAnsi" w:cstheme="minorHAnsi"/>
                <w:i/>
                <w:sz w:val="20"/>
                <w:szCs w:val="20"/>
                <w:lang w:val="es-EC"/>
              </w:rPr>
              <w:t>[indicar la fecha de entrega propuesta]</w:t>
            </w:r>
          </w:p>
        </w:tc>
        <w:tc>
          <w:tcPr>
            <w:tcW w:w="2250" w:type="dxa"/>
            <w:tcBorders>
              <w:top w:val="single" w:color="auto" w:sz="6" w:space="0"/>
              <w:left w:val="single" w:color="auto" w:sz="6" w:space="0"/>
              <w:bottom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asciiTheme="minorHAnsi" w:hAnsiTheme="minorHAnsi" w:cstheme="minorHAnsi"/>
                <w:i/>
                <w:sz w:val="20"/>
                <w:szCs w:val="20"/>
                <w:lang w:val="es-EC"/>
              </w:rPr>
              <w:t>[indicar el número de unidades a proveer y el nombre de la unidad física de medida]</w:t>
            </w:r>
          </w:p>
        </w:tc>
        <w:tc>
          <w:tcPr>
            <w:tcW w:w="2340" w:type="dxa"/>
            <w:gridSpan w:val="2"/>
            <w:tcBorders>
              <w:top w:val="single" w:color="auto" w:sz="6" w:space="0"/>
              <w:left w:val="single" w:color="auto" w:sz="6" w:space="0"/>
              <w:bottom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asciiTheme="minorHAnsi" w:hAnsiTheme="minorHAnsi" w:cstheme="minorHAnsi"/>
                <w:i/>
                <w:sz w:val="20"/>
                <w:szCs w:val="20"/>
                <w:lang w:val="es-EC"/>
              </w:rPr>
              <w:t>[indicar el precio unitario CIP por unidad]</w:t>
            </w:r>
          </w:p>
        </w:tc>
        <w:tc>
          <w:tcPr>
            <w:tcW w:w="2520" w:type="dxa"/>
            <w:tcBorders>
              <w:top w:val="single" w:color="auto" w:sz="6" w:space="0"/>
              <w:left w:val="single" w:color="auto" w:sz="6" w:space="0"/>
              <w:bottom w:val="single" w:color="auto" w:sz="6" w:space="0"/>
              <w:right w:val="doub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[indicar el precio total CIP por artículo]</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333" w:hRule="atLeast"/>
        </w:trPr>
        <w:tc>
          <w:tcPr>
            <w:tcW w:w="8370" w:type="dxa"/>
            <w:gridSpan w:val="5"/>
            <w:tcBorders>
              <w:top w:val="double" w:color="auto" w:sz="6" w:space="0"/>
              <w:left w:val="nil"/>
              <w:bottom w:val="nil"/>
              <w:right w:val="double" w:color="auto" w:sz="6" w:space="0"/>
            </w:tcBorders>
          </w:tcPr>
          <w:p>
            <w:pPr>
              <w:suppressAutoHyphens/>
              <w:spacing w:after="0" w:line="240" w:lineRule="auto"/>
              <w:rPr>
                <w:rFonts w:eastAsia="Times New Roman" w:asciiTheme="minorHAnsi" w:hAnsiTheme="minorHAnsi" w:cstheme="minorHAnsi"/>
                <w:sz w:val="20"/>
                <w:szCs w:val="20"/>
                <w:lang w:val="es-EC"/>
              </w:rPr>
            </w:pPr>
          </w:p>
        </w:tc>
        <w:tc>
          <w:tcPr>
            <w:tcW w:w="2340" w:type="dxa"/>
            <w:gridSpan w:val="2"/>
            <w:tcBorders>
              <w:top w:val="double" w:color="auto" w:sz="6" w:space="0"/>
              <w:left w:val="double" w:color="auto" w:sz="6" w:space="0"/>
              <w:bottom w:val="double" w:color="auto" w:sz="6" w:space="0"/>
              <w:right w:val="double" w:color="auto" w:sz="6" w:space="0"/>
            </w:tcBorders>
          </w:tcPr>
          <w:p>
            <w:pPr>
              <w:suppressAutoHyphens/>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Precio Total </w:t>
            </w:r>
          </w:p>
        </w:tc>
        <w:tc>
          <w:tcPr>
            <w:tcW w:w="2520" w:type="dxa"/>
            <w:tcBorders>
              <w:top w:val="double" w:color="auto" w:sz="6" w:space="0"/>
              <w:left w:val="double" w:color="auto" w:sz="6" w:space="0"/>
              <w:bottom w:val="double" w:color="auto" w:sz="6" w:space="0"/>
              <w:right w:val="doub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495" w:hRule="exact"/>
        </w:trPr>
        <w:tc>
          <w:tcPr>
            <w:tcW w:w="13230" w:type="dxa"/>
            <w:gridSpan w:val="8"/>
            <w:tcBorders>
              <w:top w:val="nil"/>
              <w:left w:val="nil"/>
              <w:bottom w:val="nil"/>
              <w:right w:val="nil"/>
            </w:tcBorders>
          </w:tcPr>
          <w:p>
            <w:pPr>
              <w:suppressAutoHyphens/>
              <w:spacing w:before="100" w:after="0" w:line="240" w:lineRule="auto"/>
              <w:rPr>
                <w:rFonts w:eastAsia="Times New Roman" w:asciiTheme="minorHAnsi" w:hAnsiTheme="minorHAnsi" w:cstheme="minorHAnsi"/>
                <w:i/>
                <w:iCs/>
                <w:sz w:val="20"/>
                <w:szCs w:val="20"/>
                <w:lang w:val="es-EC"/>
              </w:rPr>
            </w:pPr>
            <w:r>
              <w:rPr>
                <w:rFonts w:asciiTheme="minorHAnsi" w:hAnsiTheme="minorHAnsi" w:cstheme="minorHAnsi"/>
                <w:sz w:val="20"/>
                <w:szCs w:val="20"/>
                <w:lang w:val="es-EC"/>
              </w:rPr>
              <w:t xml:space="preserve">Nombre del Oferente </w:t>
            </w:r>
            <w:r>
              <w:rPr>
                <w:rFonts w:asciiTheme="minorHAnsi" w:hAnsiTheme="minorHAnsi" w:cstheme="minorHAnsi"/>
                <w:i/>
                <w:sz w:val="20"/>
                <w:szCs w:val="20"/>
                <w:lang w:val="es-EC"/>
              </w:rPr>
              <w:t xml:space="preserve">[indicar el nombre completo del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w:t>
            </w:r>
            <w:r>
              <w:rPr>
                <w:rFonts w:asciiTheme="minorHAnsi" w:hAnsiTheme="minorHAnsi" w:cstheme="minorHAnsi"/>
                <w:sz w:val="20"/>
                <w:szCs w:val="20"/>
                <w:lang w:val="es-EC"/>
              </w:rPr>
              <w:t xml:space="preserve">Firma del Oferente </w:t>
            </w:r>
            <w:r>
              <w:rPr>
                <w:rFonts w:asciiTheme="minorHAnsi" w:hAnsiTheme="minorHAnsi" w:cstheme="minorHAnsi"/>
                <w:i/>
                <w:sz w:val="20"/>
                <w:szCs w:val="20"/>
                <w:lang w:val="es-EC"/>
              </w:rPr>
              <w:t xml:space="preserve">[firma de la persona que firma la </w:t>
            </w:r>
            <w:r>
              <w:rPr>
                <w:rFonts w:asciiTheme="minorHAnsi" w:hAnsiTheme="minorHAnsi" w:cstheme="minorHAnsi"/>
                <w:i/>
                <w:iCs/>
                <w:sz w:val="20"/>
                <w:szCs w:val="20"/>
                <w:lang w:val="es-EC"/>
              </w:rPr>
              <w:t>oferta</w:t>
            </w:r>
            <w:r>
              <w:rPr>
                <w:rFonts w:asciiTheme="minorHAnsi" w:hAnsiTheme="minorHAnsi" w:cstheme="minorHAnsi"/>
                <w:i/>
                <w:sz w:val="20"/>
                <w:szCs w:val="20"/>
                <w:lang w:val="es-EC"/>
              </w:rPr>
              <w:t>]</w:t>
            </w:r>
            <w:r>
              <w:rPr>
                <w:rFonts w:asciiTheme="minorHAnsi" w:hAnsiTheme="minorHAnsi" w:cstheme="minorHAnsi"/>
                <w:sz w:val="20"/>
                <w:szCs w:val="20"/>
                <w:lang w:val="es-EC"/>
              </w:rPr>
              <w:t xml:space="preserve">Fecha </w:t>
            </w:r>
            <w:r>
              <w:rPr>
                <w:rFonts w:asciiTheme="minorHAnsi" w:hAnsiTheme="minorHAnsi" w:cstheme="minorHAnsi"/>
                <w:i/>
                <w:sz w:val="20"/>
                <w:szCs w:val="20"/>
                <w:lang w:val="es-EC"/>
              </w:rPr>
              <w:t>[Indicar Fecha]</w:t>
            </w:r>
          </w:p>
        </w:tc>
      </w:tr>
    </w:tbl>
    <w:p>
      <w:pPr>
        <w:spacing w:before="60" w:after="60" w:line="240" w:lineRule="auto"/>
        <w:rPr>
          <w:rFonts w:asciiTheme="minorHAnsi" w:hAnsiTheme="minorHAnsi" w:cstheme="minorHAnsi"/>
          <w:b/>
          <w:sz w:val="20"/>
          <w:szCs w:val="20"/>
          <w:lang w:val="es-EC"/>
        </w:rPr>
      </w:pPr>
    </w:p>
    <w:p>
      <w:pPr>
        <w:rPr>
          <w:rFonts w:asciiTheme="minorHAnsi" w:hAnsiTheme="minorHAnsi" w:cstheme="minorHAnsi"/>
          <w:b/>
          <w:sz w:val="20"/>
          <w:szCs w:val="20"/>
          <w:lang w:val="es-EC"/>
        </w:rPr>
      </w:pPr>
      <w:r>
        <w:rPr>
          <w:rFonts w:asciiTheme="minorHAnsi" w:hAnsiTheme="minorHAnsi" w:cstheme="minorHAnsi"/>
          <w:b/>
          <w:sz w:val="20"/>
          <w:szCs w:val="20"/>
          <w:lang w:val="es-EC"/>
        </w:rPr>
        <w:br w:type="page"/>
      </w:r>
    </w:p>
    <w:tbl>
      <w:tblPr>
        <w:tblStyle w:val="46"/>
        <w:tblW w:w="14392" w:type="dxa"/>
        <w:tblInd w:w="-73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
      <w:tblGrid>
        <w:gridCol w:w="622"/>
        <w:gridCol w:w="137"/>
        <w:gridCol w:w="583"/>
        <w:gridCol w:w="859"/>
        <w:gridCol w:w="850"/>
        <w:gridCol w:w="181"/>
        <w:gridCol w:w="1080"/>
        <w:gridCol w:w="523"/>
        <w:gridCol w:w="17"/>
        <w:gridCol w:w="270"/>
        <w:gridCol w:w="540"/>
        <w:gridCol w:w="23"/>
        <w:gridCol w:w="1147"/>
        <w:gridCol w:w="34"/>
        <w:gridCol w:w="146"/>
        <w:gridCol w:w="1260"/>
        <w:gridCol w:w="31"/>
        <w:gridCol w:w="959"/>
        <w:gridCol w:w="233"/>
        <w:gridCol w:w="307"/>
        <w:gridCol w:w="23"/>
        <w:gridCol w:w="967"/>
        <w:gridCol w:w="630"/>
        <w:gridCol w:w="9"/>
        <w:gridCol w:w="1071"/>
        <w:gridCol w:w="1620"/>
        <w:gridCol w:w="246"/>
        <w:gridCol w:w="24"/>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After w:val="1"/>
          <w:wAfter w:w="24" w:type="dxa"/>
          <w:cantSplit/>
          <w:trHeight w:val="140" w:hRule="atLeast"/>
        </w:trPr>
        <w:tc>
          <w:tcPr>
            <w:tcW w:w="14368" w:type="dxa"/>
            <w:gridSpan w:val="27"/>
            <w:tcBorders>
              <w:top w:val="nil"/>
              <w:left w:val="nil"/>
              <w:bottom w:val="nil"/>
              <w:right w:val="nil"/>
            </w:tcBorders>
          </w:tcPr>
          <w:p>
            <w:pPr>
              <w:keepNext/>
              <w:keepLines/>
              <w:spacing w:before="240" w:after="0" w:line="240" w:lineRule="auto"/>
              <w:jc w:val="center"/>
              <w:outlineLvl w:val="1"/>
              <w:rPr>
                <w:rFonts w:eastAsia="Times New Roman" w:asciiTheme="minorHAnsi" w:hAnsiTheme="minorHAnsi" w:cstheme="minorHAnsi"/>
                <w:b/>
                <w:sz w:val="20"/>
                <w:szCs w:val="20"/>
                <w:lang w:val="es-EC"/>
              </w:rPr>
            </w:pPr>
            <w:bookmarkStart w:id="312" w:name="_Toc106181170"/>
            <w:bookmarkStart w:id="313" w:name="_Toc317173255"/>
            <w:bookmarkStart w:id="314" w:name="_Toc478103475"/>
            <w:r>
              <w:rPr>
                <w:rFonts w:eastAsia="Times New Roman" w:asciiTheme="minorHAnsi" w:hAnsiTheme="minorHAnsi" w:cstheme="minorHAnsi"/>
                <w:b/>
                <w:bCs/>
                <w:sz w:val="20"/>
                <w:szCs w:val="20"/>
                <w:lang w:val="es-EC"/>
              </w:rPr>
              <w:t>Lista de Precios: Bienes de origen fuera del País del Comprador previamente importados</w:t>
            </w:r>
            <w:bookmarkEnd w:id="312"/>
            <w:bookmarkEnd w:id="313"/>
            <w:bookmarkEnd w:id="314"/>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After w:val="1"/>
          <w:wAfter w:w="24" w:type="dxa"/>
          <w:cantSplit/>
          <w:trHeight w:val="1251" w:hRule="atLeast"/>
        </w:trPr>
        <w:tc>
          <w:tcPr>
            <w:tcW w:w="3051" w:type="dxa"/>
            <w:gridSpan w:val="5"/>
            <w:tcBorders>
              <w:top w:val="double" w:color="auto" w:sz="6" w:space="0"/>
              <w:bottom w:val="nil"/>
              <w:right w:val="nil"/>
            </w:tcBorders>
          </w:tcPr>
          <w:p>
            <w:pPr>
              <w:suppressAutoHyphens/>
              <w:spacing w:after="0" w:line="240" w:lineRule="auto"/>
              <w:jc w:val="center"/>
              <w:rPr>
                <w:rFonts w:eastAsia="Times New Roman" w:asciiTheme="minorHAnsi" w:hAnsiTheme="minorHAnsi" w:cstheme="minorHAnsi"/>
                <w:sz w:val="20"/>
                <w:szCs w:val="20"/>
                <w:lang w:val="es-EC"/>
              </w:rPr>
            </w:pPr>
          </w:p>
        </w:tc>
        <w:tc>
          <w:tcPr>
            <w:tcW w:w="6444" w:type="dxa"/>
            <w:gridSpan w:val="14"/>
            <w:tcBorders>
              <w:top w:val="double" w:color="auto" w:sz="6" w:space="0"/>
              <w:left w:val="nil"/>
              <w:bottom w:val="nil"/>
              <w:right w:val="nil"/>
            </w:tcBorders>
          </w:tcPr>
          <w:p>
            <w:pPr>
              <w:suppressAutoHyphens/>
              <w:spacing w:before="240"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(Ofertas Grupo C, Bienes ya importados)</w:t>
            </w:r>
          </w:p>
          <w:p>
            <w:pPr>
              <w:suppressAutoHyphens/>
              <w:spacing w:before="240"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Monedas de acuerdo con Subcláusula15 de las IAO</w:t>
            </w:r>
          </w:p>
        </w:tc>
        <w:tc>
          <w:tcPr>
            <w:tcW w:w="4873" w:type="dxa"/>
            <w:gridSpan w:val="8"/>
            <w:tcBorders>
              <w:top w:val="double" w:color="auto" w:sz="6" w:space="0"/>
              <w:left w:val="nil"/>
              <w:bottom w:val="nil"/>
            </w:tcBorders>
          </w:tcPr>
          <w:p>
            <w:pPr>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Fecha:_________________________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LPI No: _______________________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Alternativa No: 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Página N</w:t>
            </w:r>
            <w:r>
              <w:rPr>
                <w:rFonts w:eastAsia="Times New Roman" w:asciiTheme="minorHAnsi" w:hAnsiTheme="minorHAnsi" w:cstheme="minorHAnsi"/>
                <w:sz w:val="20"/>
                <w:szCs w:val="20"/>
                <w:lang w:val="es-EC"/>
              </w:rPr>
              <w:sym w:font="Symbol" w:char="F0B0"/>
            </w:r>
            <w:r>
              <w:rPr>
                <w:rFonts w:eastAsia="Times New Roman" w:asciiTheme="minorHAnsi" w:hAnsiTheme="minorHAnsi" w:cstheme="minorHAnsi"/>
                <w:sz w:val="20"/>
                <w:szCs w:val="20"/>
                <w:lang w:val="es-EC"/>
              </w:rPr>
              <w:t xml:space="preserve"> ___ de___</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After w:val="1"/>
          <w:wAfter w:w="24" w:type="dxa"/>
          <w:cantSplit/>
        </w:trPr>
        <w:tc>
          <w:tcPr>
            <w:tcW w:w="759" w:type="dxa"/>
            <w:gridSpan w:val="2"/>
            <w:tcBorders>
              <w:top w:val="doub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1</w:t>
            </w:r>
          </w:p>
        </w:tc>
        <w:tc>
          <w:tcPr>
            <w:tcW w:w="1442" w:type="dxa"/>
            <w:gridSpan w:val="2"/>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2</w:t>
            </w:r>
          </w:p>
        </w:tc>
        <w:tc>
          <w:tcPr>
            <w:tcW w:w="850" w:type="dxa"/>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3</w:t>
            </w:r>
          </w:p>
        </w:tc>
        <w:tc>
          <w:tcPr>
            <w:tcW w:w="1784" w:type="dxa"/>
            <w:gridSpan w:val="3"/>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4</w:t>
            </w:r>
          </w:p>
        </w:tc>
        <w:tc>
          <w:tcPr>
            <w:tcW w:w="850" w:type="dxa"/>
            <w:gridSpan w:val="4"/>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5</w:t>
            </w:r>
          </w:p>
        </w:tc>
        <w:tc>
          <w:tcPr>
            <w:tcW w:w="1181" w:type="dxa"/>
            <w:gridSpan w:val="2"/>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6</w:t>
            </w:r>
          </w:p>
        </w:tc>
        <w:tc>
          <w:tcPr>
            <w:tcW w:w="1437" w:type="dxa"/>
            <w:gridSpan w:val="3"/>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7</w:t>
            </w:r>
          </w:p>
        </w:tc>
        <w:tc>
          <w:tcPr>
            <w:tcW w:w="1522" w:type="dxa"/>
            <w:gridSpan w:val="4"/>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8</w:t>
            </w:r>
          </w:p>
        </w:tc>
        <w:tc>
          <w:tcPr>
            <w:tcW w:w="1606" w:type="dxa"/>
            <w:gridSpan w:val="3"/>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9</w:t>
            </w:r>
          </w:p>
        </w:tc>
        <w:tc>
          <w:tcPr>
            <w:tcW w:w="2937" w:type="dxa"/>
            <w:gridSpan w:val="3"/>
            <w:tcBorders>
              <w:top w:val="double" w:color="auto" w:sz="6" w:space="0"/>
              <w:left w:val="single" w:color="auto" w:sz="6" w:space="0"/>
              <w:bottom w:val="doub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72" w:type="dxa"/>
            <w:bottom w:w="0" w:type="dxa"/>
            <w:right w:w="72" w:type="dxa"/>
          </w:tblCellMar>
        </w:tblPrEx>
        <w:trPr>
          <w:gridAfter w:val="1"/>
          <w:wAfter w:w="24" w:type="dxa"/>
          <w:cantSplit/>
          <w:trHeight w:val="1647" w:hRule="atLeast"/>
        </w:trPr>
        <w:tc>
          <w:tcPr>
            <w:tcW w:w="759" w:type="dxa"/>
            <w:gridSpan w:val="2"/>
            <w:tcBorders>
              <w:top w:val="double" w:color="auto" w:sz="6" w:space="0"/>
              <w:left w:val="doub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No. de Artículo</w:t>
            </w:r>
          </w:p>
        </w:tc>
        <w:tc>
          <w:tcPr>
            <w:tcW w:w="1442" w:type="dxa"/>
            <w:gridSpan w:val="2"/>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Descripción de Bienes</w:t>
            </w:r>
          </w:p>
        </w:tc>
        <w:tc>
          <w:tcPr>
            <w:tcW w:w="850" w:type="dxa"/>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País de Origen</w:t>
            </w:r>
          </w:p>
        </w:tc>
        <w:tc>
          <w:tcPr>
            <w:tcW w:w="1801" w:type="dxa"/>
            <w:gridSpan w:val="4"/>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Fecha de entrega según definición de Incoterms</w:t>
            </w:r>
          </w:p>
        </w:tc>
        <w:tc>
          <w:tcPr>
            <w:tcW w:w="810" w:type="dxa"/>
            <w:gridSpan w:val="2"/>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Cantidad y unidad física </w:t>
            </w:r>
          </w:p>
        </w:tc>
        <w:tc>
          <w:tcPr>
            <w:tcW w:w="1170" w:type="dxa"/>
            <w:gridSpan w:val="2"/>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Precio unitario CIP (lugar de destino convenido) incluyendo Derechos de Aduana e Impuestos de Importación pagados de acuerdo con IAO 14.6(c)(i)</w:t>
            </w:r>
          </w:p>
        </w:tc>
        <w:tc>
          <w:tcPr>
            <w:tcW w:w="1440" w:type="dxa"/>
            <w:gridSpan w:val="3"/>
            <w:tcBorders>
              <w:top w:val="double" w:color="auto" w:sz="6" w:space="0"/>
              <w:left w:val="single" w:color="auto" w:sz="6" w:space="0"/>
              <w:bottom w:val="sing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Derechos de Aduana e Impuestos de Importación pagados por unidad  de acuerdo con IAO 14.6 (c)(ii), </w:t>
            </w:r>
            <w:r>
              <w:rPr>
                <w:rFonts w:asciiTheme="minorHAnsi" w:hAnsiTheme="minorHAnsi" w:cstheme="minorHAnsi"/>
                <w:i/>
                <w:sz w:val="20"/>
                <w:szCs w:val="20"/>
                <w:lang w:val="es-EC"/>
              </w:rPr>
              <w:t>[respaldado con documentos]</w:t>
            </w:r>
          </w:p>
        </w:tc>
        <w:tc>
          <w:tcPr>
            <w:tcW w:w="1530" w:type="dxa"/>
            <w:gridSpan w:val="4"/>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 xml:space="preserve">Precio unitario  CIP (lugar de destino convenido) neto </w:t>
            </w:r>
            <w:r>
              <w:rPr>
                <w:rFonts w:asciiTheme="minorHAnsi" w:hAnsiTheme="minorHAnsi" w:cstheme="minorHAnsi"/>
                <w:i/>
                <w:sz w:val="20"/>
                <w:szCs w:val="20"/>
                <w:lang w:val="es-EC"/>
              </w:rPr>
              <w:t>[sin incluir Derechos de Aduana e Impuestos de Importación pagados de acuerdo con IAO 14.6(c)(iii)]</w:t>
            </w:r>
          </w:p>
          <w:p>
            <w:pPr>
              <w:suppressAutoHyphens/>
              <w:spacing w:after="0" w:line="240" w:lineRule="auto"/>
              <w:jc w:val="center"/>
              <w:rPr>
                <w:rFonts w:eastAsia="Times New Roman" w:asciiTheme="minorHAnsi" w:hAnsiTheme="minorHAnsi" w:cstheme="minorHAnsi"/>
                <w:sz w:val="20"/>
                <w:szCs w:val="20"/>
                <w:lang w:val="es-EC"/>
              </w:rPr>
            </w:pPr>
            <w:r>
              <w:rPr>
                <w:rFonts w:asciiTheme="minorHAnsi" w:hAnsiTheme="minorHAnsi" w:cstheme="minorHAnsi"/>
                <w:sz w:val="20"/>
                <w:szCs w:val="20"/>
                <w:lang w:val="es-EC"/>
              </w:rPr>
              <w:t>(Col. 6 menos Col.7)</w:t>
            </w:r>
          </w:p>
        </w:tc>
        <w:tc>
          <w:tcPr>
            <w:tcW w:w="1620" w:type="dxa"/>
            <w:gridSpan w:val="3"/>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 xml:space="preserve">Precio CIP por artículo, neto [sin incluir Derechos de Aduana e Impuestos de Importación, de acuerdo con IAO 14.6 (c)(i)] (Col. 5 </w:t>
            </w:r>
            <w:r>
              <w:rPr>
                <w:rFonts w:asciiTheme="minorHAnsi" w:hAnsiTheme="minorHAnsi" w:cstheme="minorHAnsi"/>
                <w:sz w:val="20"/>
                <w:szCs w:val="20"/>
                <w:lang w:val="es-EC"/>
              </w:rPr>
              <w:sym w:font="Symbol" w:char="F0B4"/>
            </w:r>
            <w:r>
              <w:rPr>
                <w:rFonts w:asciiTheme="minorHAnsi" w:hAnsiTheme="minorHAnsi" w:cstheme="minorHAnsi"/>
                <w:sz w:val="20"/>
                <w:szCs w:val="20"/>
                <w:lang w:val="es-EC"/>
              </w:rPr>
              <w:t xml:space="preserve"> 8)</w:t>
            </w:r>
          </w:p>
          <w:p>
            <w:pPr>
              <w:suppressAutoHyphens/>
              <w:spacing w:after="0" w:line="240" w:lineRule="auto"/>
              <w:jc w:val="center"/>
              <w:rPr>
                <w:rFonts w:eastAsia="Times New Roman" w:asciiTheme="minorHAnsi" w:hAnsiTheme="minorHAnsi" w:cstheme="minorHAnsi"/>
                <w:sz w:val="20"/>
                <w:szCs w:val="20"/>
                <w:lang w:val="es-EC"/>
              </w:rPr>
            </w:pPr>
          </w:p>
          <w:p>
            <w:pPr>
              <w:suppressAutoHyphens/>
              <w:spacing w:after="0" w:line="240" w:lineRule="auto"/>
              <w:jc w:val="center"/>
              <w:rPr>
                <w:rFonts w:eastAsia="Times New Roman" w:asciiTheme="minorHAnsi" w:hAnsiTheme="minorHAnsi" w:cstheme="minorHAnsi"/>
                <w:sz w:val="20"/>
                <w:szCs w:val="20"/>
                <w:lang w:val="es-EC"/>
              </w:rPr>
            </w:pPr>
          </w:p>
        </w:tc>
        <w:tc>
          <w:tcPr>
            <w:tcW w:w="2946" w:type="dxa"/>
            <w:gridSpan w:val="4"/>
            <w:tcBorders>
              <w:top w:val="double" w:color="auto" w:sz="6" w:space="0"/>
              <w:left w:val="single" w:color="auto" w:sz="6" w:space="0"/>
              <w:bottom w:val="single" w:color="auto" w:sz="6" w:space="0"/>
              <w:right w:val="doub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Impuestos sobre la venta y otros impuestos pagados o por pagar sobre el artículo, si el contrato es adjudicado de acuerdo con IAO 14.6 (c)(iv)</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390" w:hRule="atLeast"/>
        </w:trPr>
        <w:tc>
          <w:tcPr>
            <w:tcW w:w="759" w:type="dxa"/>
            <w:gridSpan w:val="2"/>
            <w:tcBorders>
              <w:top w:val="single" w:color="auto" w:sz="6" w:space="0"/>
              <w:left w:val="double" w:color="auto" w:sz="6" w:space="0"/>
              <w:bottom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asciiTheme="minorHAnsi" w:hAnsiTheme="minorHAnsi" w:cstheme="minorHAnsi"/>
                <w:i/>
                <w:iCs/>
                <w:sz w:val="20"/>
                <w:szCs w:val="20"/>
                <w:lang w:val="es-EC"/>
              </w:rPr>
              <w:t xml:space="preserve">[indicar </w:t>
            </w:r>
            <w:r>
              <w:rPr>
                <w:rFonts w:asciiTheme="minorHAnsi" w:hAnsiTheme="minorHAnsi" w:cstheme="minorHAnsi"/>
                <w:sz w:val="20"/>
                <w:szCs w:val="20"/>
                <w:lang w:val="es-EC"/>
              </w:rPr>
              <w:t>No. de Artículo</w:t>
            </w:r>
            <w:r>
              <w:rPr>
                <w:rFonts w:asciiTheme="minorHAnsi" w:hAnsiTheme="minorHAnsi" w:cstheme="minorHAnsi"/>
                <w:i/>
                <w:iCs/>
                <w:sz w:val="20"/>
                <w:szCs w:val="20"/>
                <w:lang w:val="es-EC"/>
              </w:rPr>
              <w:t>]</w:t>
            </w:r>
          </w:p>
        </w:tc>
        <w:tc>
          <w:tcPr>
            <w:tcW w:w="1442" w:type="dxa"/>
            <w:gridSpan w:val="2"/>
            <w:tcBorders>
              <w:top w:val="single" w:color="auto" w:sz="6" w:space="0"/>
              <w:left w:val="single" w:color="auto" w:sz="6" w:space="0"/>
              <w:bottom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[indicar el nombre de los Bienes]</w:t>
            </w:r>
          </w:p>
        </w:tc>
        <w:tc>
          <w:tcPr>
            <w:tcW w:w="850" w:type="dxa"/>
            <w:tcBorders>
              <w:top w:val="single" w:color="auto" w:sz="6" w:space="0"/>
              <w:left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[indicar el país de origen de los Bienes]</w:t>
            </w:r>
          </w:p>
        </w:tc>
        <w:tc>
          <w:tcPr>
            <w:tcW w:w="1801" w:type="dxa"/>
            <w:gridSpan w:val="4"/>
            <w:tcBorders>
              <w:top w:val="single" w:color="auto" w:sz="6" w:space="0"/>
              <w:left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asciiTheme="minorHAnsi" w:hAnsiTheme="minorHAnsi" w:cstheme="minorHAnsi"/>
                <w:i/>
                <w:sz w:val="20"/>
                <w:szCs w:val="20"/>
                <w:lang w:val="es-EC"/>
              </w:rPr>
              <w:t>[indicar la fecha de entrega propuesta]</w:t>
            </w:r>
          </w:p>
        </w:tc>
        <w:tc>
          <w:tcPr>
            <w:tcW w:w="810" w:type="dxa"/>
            <w:gridSpan w:val="2"/>
            <w:tcBorders>
              <w:top w:val="single" w:color="auto" w:sz="6" w:space="0"/>
              <w:left w:val="single" w:color="auto" w:sz="6" w:space="0"/>
              <w:bottom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asciiTheme="minorHAnsi" w:hAnsiTheme="minorHAnsi" w:cstheme="minorHAnsi"/>
                <w:i/>
                <w:iCs/>
                <w:sz w:val="20"/>
                <w:szCs w:val="20"/>
                <w:lang w:val="es-EC"/>
              </w:rPr>
              <w:t>[indicar el número de unidades a proveer y el nombre de la unidad física de medida]</w:t>
            </w:r>
          </w:p>
        </w:tc>
        <w:tc>
          <w:tcPr>
            <w:tcW w:w="1170" w:type="dxa"/>
            <w:gridSpan w:val="2"/>
            <w:tcBorders>
              <w:top w:val="single" w:color="auto" w:sz="6" w:space="0"/>
              <w:left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[indicar el precio CIP unitario por unidad]</w:t>
            </w:r>
          </w:p>
        </w:tc>
        <w:tc>
          <w:tcPr>
            <w:tcW w:w="1440" w:type="dxa"/>
            <w:gridSpan w:val="3"/>
            <w:tcBorders>
              <w:top w:val="single" w:color="auto" w:sz="6" w:space="0"/>
              <w:left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[indicar los derechos de aduana e impuestos de importación pagados por unidad]</w:t>
            </w:r>
          </w:p>
        </w:tc>
        <w:tc>
          <w:tcPr>
            <w:tcW w:w="1530" w:type="dxa"/>
            <w:gridSpan w:val="4"/>
            <w:tcBorders>
              <w:top w:val="single" w:color="auto" w:sz="6" w:space="0"/>
              <w:left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[indicar precio unitario CIP neto sin incluir derechos de aduana e impuestos de importación]</w:t>
            </w:r>
          </w:p>
        </w:tc>
        <w:tc>
          <w:tcPr>
            <w:tcW w:w="1620" w:type="dxa"/>
            <w:gridSpan w:val="3"/>
            <w:tcBorders>
              <w:top w:val="single" w:color="auto" w:sz="6" w:space="0"/>
              <w:left w:val="single" w:color="auto" w:sz="6" w:space="0"/>
              <w:right w:val="sing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 indicar precios CIP por artículo neto sin incluir derechos de aduana e impuestos de importación]</w:t>
            </w:r>
          </w:p>
        </w:tc>
        <w:tc>
          <w:tcPr>
            <w:tcW w:w="2970" w:type="dxa"/>
            <w:gridSpan w:val="5"/>
            <w:tcBorders>
              <w:top w:val="single" w:color="auto" w:sz="6" w:space="0"/>
              <w:left w:val="single" w:color="auto" w:sz="6" w:space="0"/>
              <w:bottom w:val="single" w:color="auto" w:sz="6" w:space="0"/>
              <w:right w:val="double" w:color="auto" w:sz="6" w:space="0"/>
            </w:tcBorders>
          </w:tcPr>
          <w:p>
            <w:pPr>
              <w:suppressAutoHyphens/>
              <w:spacing w:after="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[indicar  los impuestos sobre la venta y otros impuestos pagaderos sobre el artículo si el contrato es adjudicado]</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After w:val="1"/>
          <w:wAfter w:w="24" w:type="dxa"/>
          <w:cantSplit/>
          <w:trHeight w:val="333" w:hRule="atLeast"/>
        </w:trPr>
        <w:tc>
          <w:tcPr>
            <w:tcW w:w="9802" w:type="dxa"/>
            <w:gridSpan w:val="20"/>
            <w:tcBorders>
              <w:top w:val="double" w:color="auto" w:sz="6" w:space="0"/>
              <w:left w:val="nil"/>
              <w:bottom w:val="nil"/>
              <w:right w:val="double" w:color="auto" w:sz="6" w:space="0"/>
            </w:tcBorders>
          </w:tcPr>
          <w:p>
            <w:pPr>
              <w:suppressAutoHyphens/>
              <w:spacing w:after="0" w:line="240" w:lineRule="auto"/>
              <w:rPr>
                <w:rFonts w:eastAsia="Times New Roman" w:asciiTheme="minorHAnsi" w:hAnsiTheme="minorHAnsi" w:cstheme="minorHAnsi"/>
                <w:sz w:val="20"/>
                <w:szCs w:val="20"/>
                <w:lang w:val="es-EC"/>
              </w:rPr>
            </w:pPr>
          </w:p>
        </w:tc>
        <w:tc>
          <w:tcPr>
            <w:tcW w:w="1620" w:type="dxa"/>
            <w:gridSpan w:val="3"/>
            <w:tcBorders>
              <w:top w:val="double" w:color="auto" w:sz="6" w:space="0"/>
              <w:left w:val="double" w:color="auto" w:sz="6" w:space="0"/>
              <w:bottom w:val="double" w:color="auto" w:sz="6" w:space="0"/>
              <w:right w:val="double" w:color="auto" w:sz="6" w:space="0"/>
            </w:tcBorders>
          </w:tcPr>
          <w:p>
            <w:pPr>
              <w:suppressAutoHyphens/>
              <w:spacing w:before="60" w:after="6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Total Precio de la Oferta</w:t>
            </w:r>
          </w:p>
        </w:tc>
        <w:tc>
          <w:tcPr>
            <w:tcW w:w="2946" w:type="dxa"/>
            <w:gridSpan w:val="4"/>
            <w:tcBorders>
              <w:top w:val="double" w:color="auto" w:sz="6" w:space="0"/>
              <w:left w:val="double" w:color="auto" w:sz="6" w:space="0"/>
              <w:bottom w:val="double" w:color="auto" w:sz="6" w:space="0"/>
              <w:right w:val="doub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After w:val="1"/>
          <w:wAfter w:w="24" w:type="dxa"/>
          <w:cantSplit/>
          <w:trHeight w:val="495" w:hRule="exact"/>
        </w:trPr>
        <w:tc>
          <w:tcPr>
            <w:tcW w:w="14368" w:type="dxa"/>
            <w:gridSpan w:val="27"/>
            <w:tcBorders>
              <w:top w:val="nil"/>
              <w:left w:val="nil"/>
              <w:bottom w:val="nil"/>
              <w:right w:val="nil"/>
            </w:tcBorders>
          </w:tcPr>
          <w:p>
            <w:pPr>
              <w:suppressAutoHyphens/>
              <w:spacing w:before="100" w:after="0" w:line="240" w:lineRule="auto"/>
              <w:rPr>
                <w:rFonts w:eastAsia="Times New Roman" w:asciiTheme="minorHAnsi" w:hAnsiTheme="minorHAnsi" w:cstheme="minorHAnsi"/>
                <w:i/>
                <w:iCs/>
                <w:sz w:val="20"/>
                <w:szCs w:val="20"/>
                <w:lang w:val="es-EC"/>
              </w:rPr>
            </w:pPr>
            <w:r>
              <w:rPr>
                <w:rFonts w:asciiTheme="minorHAnsi" w:hAnsiTheme="minorHAnsi" w:cstheme="minorHAnsi"/>
                <w:sz w:val="20"/>
                <w:szCs w:val="20"/>
                <w:lang w:val="es-EC"/>
              </w:rPr>
              <w:t xml:space="preserve">Nombre del Oferente </w:t>
            </w:r>
            <w:r>
              <w:rPr>
                <w:rFonts w:asciiTheme="minorHAnsi" w:hAnsiTheme="minorHAnsi" w:cstheme="minorHAnsi"/>
                <w:i/>
                <w:sz w:val="20"/>
                <w:szCs w:val="20"/>
                <w:lang w:val="es-EC"/>
              </w:rPr>
              <w:t xml:space="preserve">[indicar el nombre completo del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w:t>
            </w:r>
            <w:r>
              <w:rPr>
                <w:rFonts w:asciiTheme="minorHAnsi" w:hAnsiTheme="minorHAnsi" w:cstheme="minorHAnsi"/>
                <w:sz w:val="20"/>
                <w:szCs w:val="20"/>
                <w:lang w:val="es-EC"/>
              </w:rPr>
              <w:t xml:space="preserve">Firma del Oferente </w:t>
            </w:r>
            <w:r>
              <w:rPr>
                <w:rFonts w:asciiTheme="minorHAnsi" w:hAnsiTheme="minorHAnsi" w:cstheme="minorHAnsi"/>
                <w:i/>
                <w:sz w:val="20"/>
                <w:szCs w:val="20"/>
                <w:lang w:val="es-EC"/>
              </w:rPr>
              <w:t xml:space="preserve">[firma de la persona que firma la </w:t>
            </w:r>
            <w:r>
              <w:rPr>
                <w:rFonts w:asciiTheme="minorHAnsi" w:hAnsiTheme="minorHAnsi" w:cstheme="minorHAnsi"/>
                <w:i/>
                <w:iCs/>
                <w:sz w:val="20"/>
                <w:szCs w:val="20"/>
                <w:lang w:val="es-EC"/>
              </w:rPr>
              <w:t>oferta</w:t>
            </w:r>
            <w:r>
              <w:rPr>
                <w:rFonts w:asciiTheme="minorHAnsi" w:hAnsiTheme="minorHAnsi" w:cstheme="minorHAnsi"/>
                <w:i/>
                <w:sz w:val="20"/>
                <w:szCs w:val="20"/>
                <w:lang w:val="es-EC"/>
              </w:rPr>
              <w:t>]</w:t>
            </w:r>
            <w:r>
              <w:rPr>
                <w:rFonts w:asciiTheme="minorHAnsi" w:hAnsiTheme="minorHAnsi" w:cstheme="minorHAnsi"/>
                <w:sz w:val="20"/>
                <w:szCs w:val="20"/>
                <w:lang w:val="es-EC"/>
              </w:rPr>
              <w:t xml:space="preserve">Fecha </w:t>
            </w:r>
            <w:r>
              <w:rPr>
                <w:rFonts w:asciiTheme="minorHAnsi" w:hAnsiTheme="minorHAnsi" w:cstheme="minorHAnsi"/>
                <w:i/>
                <w:sz w:val="20"/>
                <w:szCs w:val="20"/>
                <w:lang w:val="es-EC"/>
              </w:rPr>
              <w:t>[Indicar Fecha]</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Before w:val="1"/>
          <w:gridAfter w:val="2"/>
          <w:wBefore w:w="622" w:type="dxa"/>
          <w:wAfter w:w="270" w:type="dxa"/>
          <w:cantSplit/>
          <w:trHeight w:val="140" w:hRule="atLeast"/>
        </w:trPr>
        <w:tc>
          <w:tcPr>
            <w:tcW w:w="13500" w:type="dxa"/>
            <w:gridSpan w:val="25"/>
            <w:tcBorders>
              <w:top w:val="nil"/>
              <w:left w:val="nil"/>
              <w:bottom w:val="nil"/>
              <w:right w:val="nil"/>
            </w:tcBorders>
          </w:tcPr>
          <w:p>
            <w:pPr>
              <w:keepNext/>
              <w:keepLines/>
              <w:spacing w:before="240" w:after="0" w:line="240" w:lineRule="auto"/>
              <w:jc w:val="center"/>
              <w:outlineLvl w:val="1"/>
              <w:rPr>
                <w:rFonts w:eastAsia="Times New Roman" w:asciiTheme="minorHAnsi" w:hAnsiTheme="minorHAnsi" w:cstheme="minorHAnsi"/>
                <w:b/>
                <w:bCs/>
                <w:sz w:val="20"/>
                <w:szCs w:val="20"/>
                <w:lang w:val="es-EC"/>
              </w:rPr>
            </w:pPr>
            <w:bookmarkStart w:id="315" w:name="_Toc106181171"/>
            <w:bookmarkStart w:id="316" w:name="_Toc317173256"/>
            <w:bookmarkStart w:id="317" w:name="_Toc478103476"/>
          </w:p>
          <w:p>
            <w:pPr>
              <w:keepNext/>
              <w:keepLines/>
              <w:spacing w:before="240" w:after="0" w:line="240" w:lineRule="auto"/>
              <w:jc w:val="center"/>
              <w:outlineLvl w:val="1"/>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Lista de Precios: Bienes de origen en el País del Comprador</w:t>
            </w:r>
            <w:bookmarkEnd w:id="315"/>
            <w:bookmarkEnd w:id="316"/>
            <w:bookmarkEnd w:id="317"/>
          </w:p>
          <w:p>
            <w:pPr>
              <w:numPr>
                <w:ilvl w:val="12"/>
                <w:numId w:val="0"/>
              </w:numPr>
              <w:suppressAutoHyphens/>
              <w:spacing w:line="240" w:lineRule="auto"/>
              <w:jc w:val="both"/>
              <w:rPr>
                <w:rFonts w:asciiTheme="minorHAnsi" w:hAnsiTheme="minorHAnsi" w:cstheme="minorHAnsi"/>
                <w:i/>
                <w:sz w:val="20"/>
                <w:szCs w:val="20"/>
                <w:lang w:val="es-EC"/>
              </w:rPr>
            </w:pPr>
            <w:r>
              <w:rPr>
                <w:rFonts w:asciiTheme="minorHAnsi" w:hAnsiTheme="minorHAnsi" w:cstheme="minorHAnsi"/>
                <w:b/>
                <w:i/>
                <w:sz w:val="20"/>
                <w:szCs w:val="20"/>
                <w:lang w:val="es-EC"/>
              </w:rPr>
              <w:t>Nota:</w:t>
            </w:r>
            <w:r>
              <w:rPr>
                <w:rFonts w:asciiTheme="minorHAnsi" w:hAnsiTheme="minorHAnsi" w:cstheme="minorHAnsi"/>
                <w:i/>
                <w:sz w:val="20"/>
                <w:szCs w:val="20"/>
                <w:lang w:val="es-EC"/>
              </w:rPr>
              <w:t xml:space="preserve"> El precio de los bienes deberá prever los costos indirectos de nacionalización, transporte interno de los bienes, distribución, instalación, puesta en servicio y garantía técnica para cada lote ofertado. </w:t>
            </w: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Before w:val="1"/>
          <w:gridAfter w:val="2"/>
          <w:wBefore w:w="622" w:type="dxa"/>
          <w:wAfter w:w="270" w:type="dxa"/>
          <w:cantSplit/>
          <w:trHeight w:val="1251" w:hRule="atLeast"/>
        </w:trPr>
        <w:tc>
          <w:tcPr>
            <w:tcW w:w="4500" w:type="dxa"/>
            <w:gridSpan w:val="9"/>
            <w:tcBorders>
              <w:top w:val="double" w:color="auto" w:sz="6" w:space="0"/>
              <w:bottom w:val="nil"/>
              <w:right w:val="nil"/>
            </w:tcBorders>
          </w:tcPr>
          <w:p>
            <w:pPr>
              <w:suppressAutoHyphens/>
              <w:spacing w:before="240"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País Comprador</w:t>
            </w:r>
          </w:p>
          <w:p>
            <w:pPr>
              <w:suppressAutoHyphens/>
              <w:spacing w:before="120"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______________________</w:t>
            </w:r>
          </w:p>
          <w:p>
            <w:pPr>
              <w:suppressAutoHyphens/>
              <w:spacing w:after="0" w:line="240" w:lineRule="auto"/>
              <w:jc w:val="center"/>
              <w:rPr>
                <w:rFonts w:eastAsia="Times New Roman" w:asciiTheme="minorHAnsi" w:hAnsiTheme="minorHAnsi" w:cstheme="minorHAnsi"/>
                <w:sz w:val="20"/>
                <w:szCs w:val="20"/>
                <w:lang w:val="es-EC"/>
              </w:rPr>
            </w:pPr>
          </w:p>
        </w:tc>
        <w:tc>
          <w:tcPr>
            <w:tcW w:w="5670" w:type="dxa"/>
            <w:gridSpan w:val="12"/>
            <w:tcBorders>
              <w:top w:val="double" w:color="auto" w:sz="6" w:space="0"/>
              <w:left w:val="nil"/>
              <w:bottom w:val="nil"/>
              <w:right w:val="nil"/>
            </w:tcBorders>
          </w:tcPr>
          <w:p>
            <w:pPr>
              <w:suppressAutoHyphens/>
              <w:spacing w:before="240"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(Ofertas de los Grupo A y B)</w:t>
            </w:r>
          </w:p>
          <w:p>
            <w:pPr>
              <w:suppressAutoHyphens/>
              <w:spacing w:before="240"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Monedas de conformidad con la Subcláusula15</w:t>
            </w:r>
          </w:p>
        </w:tc>
        <w:tc>
          <w:tcPr>
            <w:tcW w:w="3330" w:type="dxa"/>
            <w:gridSpan w:val="4"/>
            <w:tcBorders>
              <w:top w:val="double" w:color="auto" w:sz="6" w:space="0"/>
              <w:left w:val="nil"/>
              <w:bottom w:val="nil"/>
            </w:tcBorders>
          </w:tcPr>
          <w:p>
            <w:pPr>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Fecha:_______________________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LPI No: ______________________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Alternativa No: 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Página N</w:t>
            </w:r>
            <w:r>
              <w:rPr>
                <w:rFonts w:eastAsia="Times New Roman" w:asciiTheme="minorHAnsi" w:hAnsiTheme="minorHAnsi" w:cstheme="minorHAnsi"/>
                <w:sz w:val="20"/>
                <w:szCs w:val="20"/>
                <w:lang w:val="es-EC"/>
              </w:rPr>
              <w:sym w:font="Symbol" w:char="F0B0"/>
            </w:r>
            <w:r>
              <w:rPr>
                <w:rFonts w:eastAsia="Times New Roman" w:asciiTheme="minorHAnsi" w:hAnsiTheme="minorHAnsi" w:cstheme="minorHAnsi"/>
                <w:sz w:val="20"/>
                <w:szCs w:val="20"/>
                <w:lang w:val="es-EC"/>
              </w:rPr>
              <w:t xml:space="preserve"> ___ of ___</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Before w:val="1"/>
          <w:gridAfter w:val="2"/>
          <w:wBefore w:w="622" w:type="dxa"/>
          <w:wAfter w:w="270" w:type="dxa"/>
          <w:cantSplit/>
        </w:trPr>
        <w:tc>
          <w:tcPr>
            <w:tcW w:w="720" w:type="dxa"/>
            <w:gridSpan w:val="2"/>
            <w:tcBorders>
              <w:top w:val="doub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1</w:t>
            </w:r>
          </w:p>
        </w:tc>
        <w:tc>
          <w:tcPr>
            <w:tcW w:w="1890" w:type="dxa"/>
            <w:gridSpan w:val="3"/>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2</w:t>
            </w:r>
          </w:p>
        </w:tc>
        <w:tc>
          <w:tcPr>
            <w:tcW w:w="1080" w:type="dxa"/>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3</w:t>
            </w:r>
          </w:p>
        </w:tc>
        <w:tc>
          <w:tcPr>
            <w:tcW w:w="810" w:type="dxa"/>
            <w:gridSpan w:val="3"/>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4</w:t>
            </w:r>
          </w:p>
        </w:tc>
        <w:tc>
          <w:tcPr>
            <w:tcW w:w="1890" w:type="dxa"/>
            <w:gridSpan w:val="5"/>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5</w:t>
            </w:r>
          </w:p>
        </w:tc>
        <w:tc>
          <w:tcPr>
            <w:tcW w:w="2250" w:type="dxa"/>
            <w:gridSpan w:val="3"/>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6</w:t>
            </w:r>
          </w:p>
        </w:tc>
        <w:tc>
          <w:tcPr>
            <w:tcW w:w="1530" w:type="dxa"/>
            <w:gridSpan w:val="4"/>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7</w:t>
            </w:r>
          </w:p>
        </w:tc>
        <w:tc>
          <w:tcPr>
            <w:tcW w:w="1710" w:type="dxa"/>
            <w:gridSpan w:val="3"/>
            <w:tcBorders>
              <w:top w:val="double" w:color="auto" w:sz="6" w:space="0"/>
              <w:left w:val="single" w:color="auto" w:sz="6" w:space="0"/>
              <w:bottom w:val="doub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8</w:t>
            </w:r>
          </w:p>
        </w:tc>
        <w:tc>
          <w:tcPr>
            <w:tcW w:w="1620" w:type="dxa"/>
            <w:tcBorders>
              <w:top w:val="double" w:color="auto" w:sz="6" w:space="0"/>
              <w:left w:val="single" w:color="auto" w:sz="6" w:space="0"/>
              <w:bottom w:val="doub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72" w:type="dxa"/>
            <w:bottom w:w="0" w:type="dxa"/>
            <w:right w:w="72" w:type="dxa"/>
          </w:tblCellMar>
        </w:tblPrEx>
        <w:trPr>
          <w:gridBefore w:val="1"/>
          <w:gridAfter w:val="2"/>
          <w:wBefore w:w="622" w:type="dxa"/>
          <w:wAfter w:w="270" w:type="dxa"/>
          <w:cantSplit/>
          <w:trHeight w:val="1647" w:hRule="atLeast"/>
        </w:trPr>
        <w:tc>
          <w:tcPr>
            <w:tcW w:w="720" w:type="dxa"/>
            <w:gridSpan w:val="2"/>
            <w:tcBorders>
              <w:top w:val="double" w:color="auto" w:sz="6" w:space="0"/>
              <w:left w:val="doub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No. de Artículo</w:t>
            </w:r>
          </w:p>
          <w:p>
            <w:pPr>
              <w:suppressAutoHyphens/>
              <w:jc w:val="center"/>
              <w:rPr>
                <w:rFonts w:asciiTheme="minorHAnsi" w:hAnsiTheme="minorHAnsi" w:cstheme="minorHAnsi"/>
                <w:sz w:val="20"/>
                <w:szCs w:val="20"/>
                <w:lang w:val="es-EC"/>
              </w:rPr>
            </w:pPr>
          </w:p>
        </w:tc>
        <w:tc>
          <w:tcPr>
            <w:tcW w:w="1890" w:type="dxa"/>
            <w:gridSpan w:val="3"/>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Descripción de los Bienes</w:t>
            </w:r>
          </w:p>
        </w:tc>
        <w:tc>
          <w:tcPr>
            <w:tcW w:w="1080" w:type="dxa"/>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Fecha de entrega según definición de Incoterms</w:t>
            </w:r>
          </w:p>
        </w:tc>
        <w:tc>
          <w:tcPr>
            <w:tcW w:w="810" w:type="dxa"/>
            <w:gridSpan w:val="3"/>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Cantidad y unidad física</w:t>
            </w:r>
          </w:p>
        </w:tc>
        <w:tc>
          <w:tcPr>
            <w:tcW w:w="1890" w:type="dxa"/>
            <w:gridSpan w:val="5"/>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 xml:space="preserve">Precio Unitario CIP </w:t>
            </w:r>
            <w:r>
              <w:rPr>
                <w:rFonts w:asciiTheme="minorHAnsi" w:hAnsiTheme="minorHAnsi" w:cstheme="minorHAnsi"/>
                <w:i/>
                <w:iCs/>
                <w:sz w:val="20"/>
                <w:szCs w:val="20"/>
                <w:lang w:val="es-EC"/>
              </w:rPr>
              <w:t xml:space="preserve">[indicar lugar de destino convenido] </w:t>
            </w:r>
            <w:r>
              <w:rPr>
                <w:rFonts w:asciiTheme="minorHAnsi" w:hAnsiTheme="minorHAnsi" w:cstheme="minorHAnsi"/>
                <w:sz w:val="20"/>
                <w:szCs w:val="20"/>
                <w:lang w:val="es-EC"/>
              </w:rPr>
              <w:t>de cada artículo</w:t>
            </w:r>
          </w:p>
        </w:tc>
        <w:tc>
          <w:tcPr>
            <w:tcW w:w="2250" w:type="dxa"/>
            <w:gridSpan w:val="3"/>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Precio Total CIP por cada artículo</w:t>
            </w:r>
          </w:p>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(Col. 4</w:t>
            </w:r>
            <w:r>
              <w:rPr>
                <w:rFonts w:asciiTheme="minorHAnsi" w:hAnsiTheme="minorHAnsi" w:cstheme="minorHAnsi"/>
                <w:sz w:val="20"/>
                <w:szCs w:val="20"/>
                <w:lang w:val="es-EC"/>
              </w:rPr>
              <w:sym w:font="Symbol" w:char="F0B4"/>
            </w:r>
            <w:r>
              <w:rPr>
                <w:rFonts w:asciiTheme="minorHAnsi" w:hAnsiTheme="minorHAnsi" w:cstheme="minorHAnsi"/>
                <w:sz w:val="20"/>
                <w:szCs w:val="20"/>
                <w:lang w:val="es-EC"/>
              </w:rPr>
              <w:t>5)</w:t>
            </w:r>
          </w:p>
        </w:tc>
        <w:tc>
          <w:tcPr>
            <w:tcW w:w="1530" w:type="dxa"/>
            <w:gridSpan w:val="4"/>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Costo de la mano de obra, materia prima y componentes de origen en el País del Comprador</w:t>
            </w:r>
          </w:p>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 de la Col. 5</w:t>
            </w:r>
          </w:p>
        </w:tc>
        <w:tc>
          <w:tcPr>
            <w:tcW w:w="1710" w:type="dxa"/>
            <w:gridSpan w:val="3"/>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Impuestos sobre la venta y otros pagaderos por artículo si el contrato es adjudicado de acuerdo con  IAO 14.6.6(a)(ii)</w:t>
            </w:r>
          </w:p>
        </w:tc>
        <w:tc>
          <w:tcPr>
            <w:tcW w:w="1620" w:type="dxa"/>
            <w:tcBorders>
              <w:top w:val="double" w:color="auto" w:sz="6" w:space="0"/>
              <w:left w:val="single" w:color="auto" w:sz="6" w:space="0"/>
              <w:bottom w:val="single" w:color="auto" w:sz="6" w:space="0"/>
              <w:right w:val="doub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Precio Total por artículo</w:t>
            </w:r>
          </w:p>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(Col. 6+8)</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Before w:val="1"/>
          <w:gridAfter w:val="2"/>
          <w:wBefore w:w="622" w:type="dxa"/>
          <w:wAfter w:w="270" w:type="dxa"/>
          <w:cantSplit/>
          <w:trHeight w:val="390" w:hRule="atLeast"/>
        </w:trPr>
        <w:tc>
          <w:tcPr>
            <w:tcW w:w="720" w:type="dxa"/>
            <w:gridSpan w:val="2"/>
            <w:tcBorders>
              <w:top w:val="single" w:color="auto" w:sz="6" w:space="0"/>
              <w:left w:val="double" w:color="auto" w:sz="6" w:space="0"/>
              <w:bottom w:val="single" w:color="auto" w:sz="6" w:space="0"/>
              <w:right w:val="single" w:color="auto" w:sz="6" w:space="0"/>
            </w:tcBorders>
          </w:tcPr>
          <w:p>
            <w:pPr>
              <w:suppressAutoHyphens/>
              <w:rPr>
                <w:rFonts w:asciiTheme="minorHAnsi" w:hAnsiTheme="minorHAnsi" w:cstheme="minorHAnsi"/>
                <w:i/>
                <w:iCs/>
                <w:sz w:val="20"/>
                <w:szCs w:val="20"/>
                <w:lang w:val="es-EC"/>
              </w:rPr>
            </w:pPr>
            <w:r>
              <w:rPr>
                <w:rFonts w:asciiTheme="minorHAnsi" w:hAnsiTheme="minorHAnsi" w:cstheme="minorHAnsi"/>
                <w:i/>
                <w:iCs/>
                <w:sz w:val="20"/>
                <w:szCs w:val="20"/>
                <w:lang w:val="es-EC"/>
              </w:rPr>
              <w:t xml:space="preserve">[indicar </w:t>
            </w:r>
            <w:r>
              <w:rPr>
                <w:rFonts w:asciiTheme="minorHAnsi" w:hAnsiTheme="minorHAnsi" w:cstheme="minorHAnsi"/>
                <w:sz w:val="20"/>
                <w:szCs w:val="20"/>
                <w:lang w:val="es-EC"/>
              </w:rPr>
              <w:t>No. de Artículo</w:t>
            </w:r>
            <w:r>
              <w:rPr>
                <w:rFonts w:asciiTheme="minorHAnsi" w:hAnsiTheme="minorHAnsi" w:cstheme="minorHAnsi"/>
                <w:i/>
                <w:iCs/>
                <w:sz w:val="20"/>
                <w:szCs w:val="20"/>
                <w:lang w:val="es-EC"/>
              </w:rPr>
              <w:t>]</w:t>
            </w:r>
          </w:p>
        </w:tc>
        <w:tc>
          <w:tcPr>
            <w:tcW w:w="1890" w:type="dxa"/>
            <w:gridSpan w:val="3"/>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i/>
                <w:iCs/>
                <w:sz w:val="20"/>
                <w:szCs w:val="20"/>
                <w:lang w:val="es-EC"/>
              </w:rPr>
            </w:pPr>
            <w:r>
              <w:rPr>
                <w:rFonts w:asciiTheme="minorHAnsi" w:hAnsiTheme="minorHAnsi" w:cstheme="minorHAnsi"/>
                <w:i/>
                <w:iCs/>
                <w:sz w:val="20"/>
                <w:szCs w:val="20"/>
                <w:lang w:val="es-EC"/>
              </w:rPr>
              <w:t>[indicar nombre de los Bienes]</w:t>
            </w:r>
          </w:p>
        </w:tc>
        <w:tc>
          <w:tcPr>
            <w:tcW w:w="1080" w:type="dxa"/>
            <w:tcBorders>
              <w:top w:val="single" w:color="auto" w:sz="6" w:space="0"/>
              <w:left w:val="single" w:color="auto" w:sz="6" w:space="0"/>
              <w:right w:val="single" w:color="auto" w:sz="6" w:space="0"/>
            </w:tcBorders>
          </w:tcPr>
          <w:p>
            <w:pPr>
              <w:suppressAutoHyphens/>
              <w:rPr>
                <w:rFonts w:asciiTheme="minorHAnsi" w:hAnsiTheme="minorHAnsi" w:cstheme="minorHAnsi"/>
                <w:i/>
                <w:iCs/>
                <w:sz w:val="20"/>
                <w:szCs w:val="20"/>
                <w:lang w:val="es-EC"/>
              </w:rPr>
            </w:pPr>
            <w:r>
              <w:rPr>
                <w:rFonts w:asciiTheme="minorHAnsi" w:hAnsiTheme="minorHAnsi" w:cstheme="minorHAnsi"/>
                <w:i/>
                <w:iCs/>
                <w:sz w:val="20"/>
                <w:szCs w:val="20"/>
                <w:lang w:val="es-EC"/>
              </w:rPr>
              <w:t>[indicar la fecha de entrega ofertada]</w:t>
            </w:r>
          </w:p>
        </w:tc>
        <w:tc>
          <w:tcPr>
            <w:tcW w:w="810" w:type="dxa"/>
            <w:gridSpan w:val="3"/>
            <w:tcBorders>
              <w:top w:val="single" w:color="auto" w:sz="6" w:space="0"/>
              <w:left w:val="single" w:color="auto" w:sz="6" w:space="0"/>
              <w:right w:val="single" w:color="auto" w:sz="6" w:space="0"/>
            </w:tcBorders>
          </w:tcPr>
          <w:p>
            <w:pPr>
              <w:suppressAutoHyphens/>
              <w:rPr>
                <w:rFonts w:asciiTheme="minorHAnsi" w:hAnsiTheme="minorHAnsi" w:cstheme="minorHAnsi"/>
                <w:i/>
                <w:iCs/>
                <w:sz w:val="20"/>
                <w:szCs w:val="20"/>
                <w:lang w:val="es-EC"/>
              </w:rPr>
            </w:pPr>
            <w:r>
              <w:rPr>
                <w:rFonts w:asciiTheme="minorHAnsi" w:hAnsiTheme="minorHAnsi" w:cstheme="minorHAnsi"/>
                <w:i/>
                <w:iCs/>
                <w:sz w:val="20"/>
                <w:szCs w:val="20"/>
                <w:lang w:val="es-EC"/>
              </w:rPr>
              <w:t>[indicar el número de unidades a proveer y el nombre de la unidad física de medida]</w:t>
            </w:r>
          </w:p>
        </w:tc>
        <w:tc>
          <w:tcPr>
            <w:tcW w:w="1890" w:type="dxa"/>
            <w:gridSpan w:val="5"/>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i/>
                <w:iCs/>
                <w:sz w:val="20"/>
                <w:szCs w:val="20"/>
                <w:lang w:val="es-EC"/>
              </w:rPr>
            </w:pPr>
            <w:r>
              <w:rPr>
                <w:rFonts w:asciiTheme="minorHAnsi" w:hAnsiTheme="minorHAnsi" w:cstheme="minorHAnsi"/>
                <w:i/>
                <w:iCs/>
                <w:sz w:val="20"/>
                <w:szCs w:val="20"/>
                <w:lang w:val="es-EC"/>
              </w:rPr>
              <w:t>[indicar precio unitario CIP]</w:t>
            </w:r>
          </w:p>
        </w:tc>
        <w:tc>
          <w:tcPr>
            <w:tcW w:w="2250" w:type="dxa"/>
            <w:gridSpan w:val="3"/>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i/>
                <w:iCs/>
                <w:sz w:val="20"/>
                <w:szCs w:val="20"/>
                <w:lang w:val="es-EC"/>
              </w:rPr>
            </w:pPr>
            <w:r>
              <w:rPr>
                <w:rFonts w:asciiTheme="minorHAnsi" w:hAnsiTheme="minorHAnsi" w:cstheme="minorHAnsi"/>
                <w:i/>
                <w:iCs/>
                <w:sz w:val="20"/>
                <w:szCs w:val="20"/>
                <w:lang w:val="es-EC"/>
              </w:rPr>
              <w:t>[indicar precio total CIP por cada artículo]</w:t>
            </w:r>
          </w:p>
        </w:tc>
        <w:tc>
          <w:tcPr>
            <w:tcW w:w="1530" w:type="dxa"/>
            <w:gridSpan w:val="4"/>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i/>
                <w:iCs/>
                <w:sz w:val="20"/>
                <w:szCs w:val="20"/>
                <w:lang w:val="es-EC"/>
              </w:rPr>
            </w:pPr>
            <w:r>
              <w:rPr>
                <w:rFonts w:asciiTheme="minorHAnsi" w:hAnsiTheme="minorHAnsi" w:cstheme="minorHAnsi"/>
                <w:i/>
                <w:iCs/>
                <w:sz w:val="20"/>
                <w:szCs w:val="20"/>
                <w:lang w:val="es-EC"/>
              </w:rPr>
              <w:t>[indicar el costo de la mano de obra, materia prima y componentes de origen en el País del Comprador como un  % del precio CIP de cada artículo]</w:t>
            </w:r>
          </w:p>
        </w:tc>
        <w:tc>
          <w:tcPr>
            <w:tcW w:w="1710" w:type="dxa"/>
            <w:gridSpan w:val="3"/>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i/>
                <w:iCs/>
                <w:sz w:val="20"/>
                <w:szCs w:val="20"/>
                <w:lang w:val="es-EC"/>
              </w:rPr>
            </w:pPr>
            <w:r>
              <w:rPr>
                <w:rFonts w:asciiTheme="minorHAnsi" w:hAnsiTheme="minorHAnsi" w:cstheme="minorHAnsi"/>
                <w:i/>
                <w:iCs/>
                <w:sz w:val="20"/>
                <w:szCs w:val="20"/>
                <w:lang w:val="es-EC"/>
              </w:rPr>
              <w:t>[indicar impuestos sobre la venta y otros pagaderos por artículo si el contrato es adjudicado]</w:t>
            </w:r>
          </w:p>
        </w:tc>
        <w:tc>
          <w:tcPr>
            <w:tcW w:w="1620" w:type="dxa"/>
            <w:tcBorders>
              <w:top w:val="single" w:color="auto" w:sz="6" w:space="0"/>
              <w:left w:val="single" w:color="auto" w:sz="6" w:space="0"/>
              <w:bottom w:val="single" w:color="auto" w:sz="6" w:space="0"/>
              <w:right w:val="double" w:color="auto" w:sz="6" w:space="0"/>
            </w:tcBorders>
          </w:tcPr>
          <w:p>
            <w:pPr>
              <w:pStyle w:val="21"/>
              <w:suppressAutoHyphens/>
              <w:rPr>
                <w:rFonts w:asciiTheme="minorHAnsi" w:hAnsiTheme="minorHAnsi" w:cstheme="minorHAnsi"/>
                <w:i/>
                <w:iCs/>
                <w:lang w:val="es-EC"/>
              </w:rPr>
            </w:pPr>
            <w:r>
              <w:rPr>
                <w:rFonts w:asciiTheme="minorHAnsi" w:hAnsiTheme="minorHAnsi" w:cstheme="minorHAnsi"/>
                <w:i/>
                <w:iCs/>
                <w:lang w:val="es-EC"/>
              </w:rPr>
              <w:t xml:space="preserve">[indicar </w:t>
            </w:r>
            <w:r>
              <w:rPr>
                <w:rFonts w:asciiTheme="minorHAnsi" w:hAnsiTheme="minorHAnsi" w:cstheme="minorHAnsi"/>
                <w:lang w:val="es-EC"/>
              </w:rPr>
              <w:t xml:space="preserve">precio total por artículo </w:t>
            </w:r>
            <w:r>
              <w:rPr>
                <w:rFonts w:asciiTheme="minorHAnsi" w:hAnsiTheme="minorHAnsi" w:cstheme="minorHAnsi"/>
                <w:i/>
                <w:iCs/>
                <w:lang w:val="es-EC"/>
              </w:rPr>
              <w:t>]</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Before w:val="1"/>
          <w:gridAfter w:val="2"/>
          <w:wBefore w:w="622" w:type="dxa"/>
          <w:wAfter w:w="270" w:type="dxa"/>
          <w:cantSplit/>
          <w:trHeight w:val="333" w:hRule="atLeast"/>
        </w:trPr>
        <w:tc>
          <w:tcPr>
            <w:tcW w:w="10170" w:type="dxa"/>
            <w:gridSpan w:val="21"/>
            <w:tcBorders>
              <w:top w:val="double" w:color="auto" w:sz="6" w:space="0"/>
              <w:left w:val="nil"/>
              <w:bottom w:val="nil"/>
              <w:right w:val="double" w:color="auto" w:sz="6" w:space="0"/>
            </w:tcBorders>
          </w:tcPr>
          <w:p>
            <w:pPr>
              <w:suppressAutoHyphens/>
              <w:spacing w:after="0" w:line="240" w:lineRule="auto"/>
              <w:rPr>
                <w:rFonts w:eastAsia="Times New Roman" w:asciiTheme="minorHAnsi" w:hAnsiTheme="minorHAnsi" w:cstheme="minorHAnsi"/>
                <w:sz w:val="20"/>
                <w:szCs w:val="20"/>
                <w:lang w:val="es-EC"/>
              </w:rPr>
            </w:pPr>
          </w:p>
        </w:tc>
        <w:tc>
          <w:tcPr>
            <w:tcW w:w="1710" w:type="dxa"/>
            <w:gridSpan w:val="3"/>
            <w:tcBorders>
              <w:top w:val="double" w:color="auto" w:sz="6" w:space="0"/>
              <w:left w:val="double" w:color="auto" w:sz="6" w:space="0"/>
              <w:bottom w:val="double" w:color="auto" w:sz="6" w:space="0"/>
              <w:right w:val="double" w:color="auto" w:sz="6" w:space="0"/>
            </w:tcBorders>
          </w:tcPr>
          <w:p>
            <w:pPr>
              <w:suppressAutoHyphens/>
              <w:spacing w:before="60" w:after="6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Precio Total</w:t>
            </w:r>
          </w:p>
        </w:tc>
        <w:tc>
          <w:tcPr>
            <w:tcW w:w="1620" w:type="dxa"/>
            <w:tcBorders>
              <w:top w:val="double" w:color="auto" w:sz="6" w:space="0"/>
              <w:left w:val="double" w:color="auto" w:sz="6" w:space="0"/>
              <w:bottom w:val="double" w:color="auto" w:sz="6" w:space="0"/>
              <w:right w:val="doub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gridBefore w:val="1"/>
          <w:gridAfter w:val="2"/>
          <w:wBefore w:w="622" w:type="dxa"/>
          <w:wAfter w:w="270" w:type="dxa"/>
          <w:cantSplit/>
          <w:trHeight w:val="495" w:hRule="exact"/>
        </w:trPr>
        <w:tc>
          <w:tcPr>
            <w:tcW w:w="13500" w:type="dxa"/>
            <w:gridSpan w:val="25"/>
            <w:tcBorders>
              <w:top w:val="nil"/>
              <w:left w:val="nil"/>
              <w:bottom w:val="nil"/>
              <w:right w:val="nil"/>
            </w:tcBorders>
          </w:tcPr>
          <w:p>
            <w:pPr>
              <w:suppressAutoHyphens/>
              <w:spacing w:before="100" w:after="0" w:line="240" w:lineRule="auto"/>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Nombre del Oferente </w:t>
            </w:r>
            <w:r>
              <w:rPr>
                <w:rFonts w:asciiTheme="minorHAnsi" w:hAnsiTheme="minorHAnsi" w:cstheme="minorHAnsi"/>
                <w:i/>
                <w:sz w:val="20"/>
                <w:szCs w:val="20"/>
                <w:lang w:val="es-EC"/>
              </w:rPr>
              <w:t xml:space="preserve">[indicar el nombre completo del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w:t>
            </w:r>
            <w:r>
              <w:rPr>
                <w:rFonts w:asciiTheme="minorHAnsi" w:hAnsiTheme="minorHAnsi" w:cstheme="minorHAnsi"/>
                <w:sz w:val="20"/>
                <w:szCs w:val="20"/>
                <w:lang w:val="es-EC"/>
              </w:rPr>
              <w:t xml:space="preserve">Firma del Oferente </w:t>
            </w:r>
            <w:r>
              <w:rPr>
                <w:rFonts w:asciiTheme="minorHAnsi" w:hAnsiTheme="minorHAnsi" w:cstheme="minorHAnsi"/>
                <w:i/>
                <w:sz w:val="20"/>
                <w:szCs w:val="20"/>
                <w:lang w:val="es-EC"/>
              </w:rPr>
              <w:t xml:space="preserve">[firma de la persona que firma la </w:t>
            </w:r>
            <w:r>
              <w:rPr>
                <w:rFonts w:asciiTheme="minorHAnsi" w:hAnsiTheme="minorHAnsi" w:cstheme="minorHAnsi"/>
                <w:i/>
                <w:iCs/>
                <w:sz w:val="20"/>
                <w:szCs w:val="20"/>
                <w:lang w:val="es-EC"/>
              </w:rPr>
              <w:t>oferta</w:t>
            </w:r>
            <w:r>
              <w:rPr>
                <w:rFonts w:asciiTheme="minorHAnsi" w:hAnsiTheme="minorHAnsi" w:cstheme="minorHAnsi"/>
                <w:i/>
                <w:sz w:val="20"/>
                <w:szCs w:val="20"/>
                <w:lang w:val="es-EC"/>
              </w:rPr>
              <w:t>]</w:t>
            </w:r>
            <w:r>
              <w:rPr>
                <w:rFonts w:asciiTheme="minorHAnsi" w:hAnsiTheme="minorHAnsi" w:cstheme="minorHAnsi"/>
                <w:sz w:val="20"/>
                <w:szCs w:val="20"/>
                <w:lang w:val="es-EC"/>
              </w:rPr>
              <w:t xml:space="preserve">Fecha </w:t>
            </w:r>
            <w:r>
              <w:rPr>
                <w:rFonts w:asciiTheme="minorHAnsi" w:hAnsiTheme="minorHAnsi" w:cstheme="minorHAnsi"/>
                <w:i/>
                <w:sz w:val="20"/>
                <w:szCs w:val="20"/>
                <w:lang w:val="es-EC"/>
              </w:rPr>
              <w:t>[Indicar Fecha]</w:t>
            </w:r>
          </w:p>
        </w:tc>
      </w:tr>
    </w:tbl>
    <w:p>
      <w:pPr>
        <w:rPr>
          <w:rFonts w:asciiTheme="minorHAnsi" w:hAnsiTheme="minorHAnsi" w:cstheme="minorHAnsi"/>
          <w:b/>
          <w:sz w:val="20"/>
          <w:szCs w:val="20"/>
          <w:lang w:val="es-EC"/>
        </w:rPr>
      </w:pPr>
      <w:r>
        <w:rPr>
          <w:rFonts w:asciiTheme="minorHAnsi" w:hAnsiTheme="minorHAnsi" w:cstheme="minorHAnsi"/>
          <w:b/>
          <w:sz w:val="20"/>
          <w:szCs w:val="20"/>
          <w:lang w:val="es-EC"/>
        </w:rPr>
        <w:br w:type="page"/>
      </w:r>
    </w:p>
    <w:tbl>
      <w:tblPr>
        <w:tblStyle w:val="46"/>
        <w:tblW w:w="13680" w:type="dxa"/>
        <w:tblInd w:w="-198"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
      <w:tblGrid>
        <w:gridCol w:w="810"/>
        <w:gridCol w:w="2070"/>
        <w:gridCol w:w="1620"/>
        <w:gridCol w:w="1170"/>
        <w:gridCol w:w="1710"/>
        <w:gridCol w:w="2520"/>
        <w:gridCol w:w="540"/>
        <w:gridCol w:w="1530"/>
        <w:gridCol w:w="1710"/>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140" w:hRule="atLeast"/>
        </w:trPr>
        <w:tc>
          <w:tcPr>
            <w:tcW w:w="13680" w:type="dxa"/>
            <w:gridSpan w:val="9"/>
            <w:tcBorders>
              <w:top w:val="nil"/>
              <w:left w:val="nil"/>
              <w:bottom w:val="nil"/>
              <w:right w:val="nil"/>
            </w:tcBorders>
          </w:tcPr>
          <w:p>
            <w:pPr>
              <w:keepNext/>
              <w:keepLines/>
              <w:spacing w:before="240" w:after="0" w:line="240" w:lineRule="auto"/>
              <w:jc w:val="center"/>
              <w:outlineLvl w:val="1"/>
              <w:rPr>
                <w:rFonts w:eastAsia="Times New Roman" w:asciiTheme="minorHAnsi" w:hAnsiTheme="minorHAnsi" w:cstheme="minorHAnsi"/>
                <w:b/>
                <w:sz w:val="20"/>
                <w:szCs w:val="20"/>
                <w:lang w:val="es-EC"/>
              </w:rPr>
            </w:pPr>
            <w:bookmarkStart w:id="318" w:name="_Toc106181172"/>
            <w:bookmarkStart w:id="319" w:name="_Toc317173257"/>
            <w:bookmarkStart w:id="320" w:name="_Toc478103477"/>
            <w:r>
              <w:rPr>
                <w:rFonts w:eastAsia="Times New Roman" w:asciiTheme="minorHAnsi" w:hAnsiTheme="minorHAnsi" w:cstheme="minorHAnsi"/>
                <w:b/>
                <w:bCs/>
                <w:sz w:val="20"/>
                <w:szCs w:val="20"/>
                <w:lang w:val="es-EC"/>
              </w:rPr>
              <w:t>Precio y Cronograma de cumplimiento – Servicios Conexos</w:t>
            </w:r>
            <w:bookmarkEnd w:id="318"/>
            <w:bookmarkEnd w:id="319"/>
            <w:r>
              <w:rPr>
                <w:rFonts w:eastAsia="Times New Roman" w:asciiTheme="minorHAnsi" w:hAnsiTheme="minorHAnsi" w:cstheme="minorHAnsi"/>
                <w:b/>
                <w:bCs/>
                <w:color w:val="2E74B5"/>
                <w:sz w:val="20"/>
                <w:szCs w:val="20"/>
                <w:lang w:val="es-EC"/>
              </w:rPr>
              <w:t xml:space="preserve"> </w:t>
            </w:r>
            <w:bookmarkEnd w:id="320"/>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Pr>
        <w:tc>
          <w:tcPr>
            <w:tcW w:w="2880" w:type="dxa"/>
            <w:gridSpan w:val="2"/>
            <w:tcBorders>
              <w:top w:val="double" w:color="auto" w:sz="6" w:space="0"/>
              <w:bottom w:val="double" w:color="auto" w:sz="6" w:space="0"/>
              <w:right w:val="nil"/>
            </w:tcBorders>
          </w:tcPr>
          <w:p>
            <w:pPr>
              <w:suppressAutoHyphens/>
              <w:spacing w:after="0" w:line="240" w:lineRule="auto"/>
              <w:jc w:val="center"/>
              <w:rPr>
                <w:rFonts w:eastAsia="Times New Roman" w:asciiTheme="minorHAnsi" w:hAnsiTheme="minorHAnsi" w:cstheme="minorHAnsi"/>
                <w:sz w:val="20"/>
                <w:szCs w:val="20"/>
                <w:lang w:val="es-EC"/>
              </w:rPr>
            </w:pPr>
          </w:p>
        </w:tc>
        <w:tc>
          <w:tcPr>
            <w:tcW w:w="7560" w:type="dxa"/>
            <w:gridSpan w:val="5"/>
            <w:tcBorders>
              <w:top w:val="double" w:color="auto" w:sz="6" w:space="0"/>
              <w:left w:val="nil"/>
              <w:bottom w:val="double" w:color="auto" w:sz="6" w:space="0"/>
              <w:right w:val="nil"/>
            </w:tcBorders>
          </w:tcPr>
          <w:p>
            <w:pPr>
              <w:suppressAutoHyphens/>
              <w:spacing w:before="240"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Monedas de conformidad con la Subcláusula15 de las IAO</w:t>
            </w:r>
          </w:p>
        </w:tc>
        <w:tc>
          <w:tcPr>
            <w:tcW w:w="3240" w:type="dxa"/>
            <w:gridSpan w:val="2"/>
            <w:tcBorders>
              <w:top w:val="double" w:color="auto" w:sz="6" w:space="0"/>
              <w:left w:val="nil"/>
              <w:bottom w:val="double" w:color="auto" w:sz="6" w:space="0"/>
            </w:tcBorders>
          </w:tcPr>
          <w:p>
            <w:pPr>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Fecha:_________________________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LPI No: _______________________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Alternativa No: _________________</w:t>
            </w:r>
          </w:p>
          <w:p>
            <w:pPr>
              <w:suppressAutoHyphens/>
              <w:spacing w:after="0" w:line="240" w:lineRule="auto"/>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Página N</w:t>
            </w:r>
            <w:r>
              <w:rPr>
                <w:rFonts w:eastAsia="Times New Roman" w:asciiTheme="minorHAnsi" w:hAnsiTheme="minorHAnsi" w:cstheme="minorHAnsi"/>
                <w:sz w:val="20"/>
                <w:szCs w:val="20"/>
                <w:lang w:val="es-EC"/>
              </w:rPr>
              <w:sym w:font="Symbol" w:char="F0B0"/>
            </w:r>
            <w:r>
              <w:rPr>
                <w:rFonts w:eastAsia="Times New Roman" w:asciiTheme="minorHAnsi" w:hAnsiTheme="minorHAnsi" w:cstheme="minorHAnsi"/>
                <w:sz w:val="20"/>
                <w:szCs w:val="20"/>
                <w:lang w:val="es-EC"/>
              </w:rPr>
              <w:t xml:space="preserve"> ___ de___</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Pr>
        <w:tc>
          <w:tcPr>
            <w:tcW w:w="810" w:type="dxa"/>
            <w:tcBorders>
              <w:top w:val="doub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1</w:t>
            </w:r>
          </w:p>
        </w:tc>
        <w:tc>
          <w:tcPr>
            <w:tcW w:w="3690" w:type="dxa"/>
            <w:gridSpan w:val="2"/>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2</w:t>
            </w:r>
          </w:p>
        </w:tc>
        <w:tc>
          <w:tcPr>
            <w:tcW w:w="1170" w:type="dxa"/>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3</w:t>
            </w:r>
          </w:p>
        </w:tc>
        <w:tc>
          <w:tcPr>
            <w:tcW w:w="1710" w:type="dxa"/>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4</w:t>
            </w:r>
          </w:p>
        </w:tc>
        <w:tc>
          <w:tcPr>
            <w:tcW w:w="3060" w:type="dxa"/>
            <w:gridSpan w:val="2"/>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5</w:t>
            </w:r>
          </w:p>
        </w:tc>
        <w:tc>
          <w:tcPr>
            <w:tcW w:w="1530" w:type="dxa"/>
            <w:tcBorders>
              <w:top w:val="double" w:color="auto" w:sz="6" w:space="0"/>
              <w:left w:val="single" w:color="auto" w:sz="6" w:space="0"/>
              <w:bottom w:val="double" w:color="auto" w:sz="6" w:space="0"/>
              <w:right w:val="sing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6</w:t>
            </w:r>
          </w:p>
        </w:tc>
        <w:tc>
          <w:tcPr>
            <w:tcW w:w="1710" w:type="dxa"/>
            <w:tcBorders>
              <w:top w:val="double" w:color="auto" w:sz="6" w:space="0"/>
              <w:left w:val="single" w:color="auto" w:sz="6" w:space="0"/>
              <w:bottom w:val="double" w:color="auto" w:sz="6" w:space="0"/>
            </w:tcBorders>
          </w:tcPr>
          <w:p>
            <w:pPr>
              <w:suppressAutoHyphens/>
              <w:spacing w:after="0" w:line="240" w:lineRule="auto"/>
              <w:jc w:val="center"/>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72" w:type="dxa"/>
            <w:bottom w:w="0" w:type="dxa"/>
            <w:right w:w="72" w:type="dxa"/>
          </w:tblCellMar>
        </w:tblPrEx>
        <w:trPr>
          <w:cantSplit/>
          <w:trHeight w:val="693" w:hRule="atLeast"/>
        </w:trPr>
        <w:tc>
          <w:tcPr>
            <w:tcW w:w="810" w:type="dxa"/>
            <w:tcBorders>
              <w:top w:val="double" w:color="auto" w:sz="6" w:space="0"/>
              <w:left w:val="doub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Servicio</w:t>
            </w:r>
          </w:p>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N</w:t>
            </w:r>
            <w:r>
              <w:rPr>
                <w:rFonts w:asciiTheme="minorHAnsi" w:hAnsiTheme="minorHAnsi" w:cstheme="minorHAnsi"/>
                <w:sz w:val="20"/>
                <w:szCs w:val="20"/>
                <w:lang w:val="es-EC"/>
              </w:rPr>
              <w:sym w:font="Symbol" w:char="F0B0"/>
            </w:r>
          </w:p>
        </w:tc>
        <w:tc>
          <w:tcPr>
            <w:tcW w:w="3690" w:type="dxa"/>
            <w:gridSpan w:val="2"/>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Descripción de los Servicios (excluye transporte interno y otros servicios requeridos en el  país del Comprador para transportar los bienes a su destino final)</w:t>
            </w:r>
          </w:p>
        </w:tc>
        <w:tc>
          <w:tcPr>
            <w:tcW w:w="1170" w:type="dxa"/>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País de Origen</w:t>
            </w:r>
          </w:p>
        </w:tc>
        <w:tc>
          <w:tcPr>
            <w:tcW w:w="1710" w:type="dxa"/>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Fecha de Entrega en el  Lugar de Destino Final</w:t>
            </w:r>
          </w:p>
        </w:tc>
        <w:tc>
          <w:tcPr>
            <w:tcW w:w="3060" w:type="dxa"/>
            <w:gridSpan w:val="2"/>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Cantidad y Unidad física</w:t>
            </w:r>
          </w:p>
        </w:tc>
        <w:tc>
          <w:tcPr>
            <w:tcW w:w="1530" w:type="dxa"/>
            <w:tcBorders>
              <w:top w:val="double" w:color="auto" w:sz="6" w:space="0"/>
              <w:left w:val="single" w:color="auto" w:sz="6" w:space="0"/>
              <w:bottom w:val="single" w:color="auto" w:sz="6" w:space="0"/>
              <w:right w:val="sing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Precio Unitario</w:t>
            </w:r>
          </w:p>
        </w:tc>
        <w:tc>
          <w:tcPr>
            <w:tcW w:w="1710" w:type="dxa"/>
            <w:tcBorders>
              <w:top w:val="double" w:color="auto" w:sz="6" w:space="0"/>
              <w:left w:val="single" w:color="auto" w:sz="6" w:space="0"/>
              <w:bottom w:val="single" w:color="auto" w:sz="6" w:space="0"/>
              <w:right w:val="double" w:color="auto" w:sz="6" w:space="0"/>
            </w:tcBorders>
          </w:tcPr>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Precio Total por Servicio</w:t>
            </w:r>
          </w:p>
          <w:p>
            <w:pPr>
              <w:suppressAutoHyphens/>
              <w:jc w:val="center"/>
              <w:rPr>
                <w:rFonts w:asciiTheme="minorHAnsi" w:hAnsiTheme="minorHAnsi" w:cstheme="minorHAnsi"/>
                <w:sz w:val="20"/>
                <w:szCs w:val="20"/>
                <w:lang w:val="es-EC"/>
              </w:rPr>
            </w:pPr>
            <w:r>
              <w:rPr>
                <w:rFonts w:asciiTheme="minorHAnsi" w:hAnsiTheme="minorHAnsi" w:cstheme="minorHAnsi"/>
                <w:sz w:val="20"/>
                <w:szCs w:val="20"/>
                <w:lang w:val="es-EC"/>
              </w:rPr>
              <w:t>(Col 5 x 6 o un estimado)</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390" w:hRule="atLeast"/>
        </w:trPr>
        <w:tc>
          <w:tcPr>
            <w:tcW w:w="810" w:type="dxa"/>
            <w:tcBorders>
              <w:top w:val="single" w:color="auto" w:sz="6" w:space="0"/>
              <w:left w:val="double" w:color="auto" w:sz="6" w:space="0"/>
              <w:bottom w:val="single" w:color="auto" w:sz="6" w:space="0"/>
              <w:right w:val="single" w:color="auto" w:sz="6" w:space="0"/>
            </w:tcBorders>
          </w:tcPr>
          <w:p>
            <w:pPr>
              <w:suppressAutoHyphens/>
              <w:rPr>
                <w:rFonts w:asciiTheme="minorHAnsi" w:hAnsiTheme="minorHAnsi" w:cstheme="minorHAnsi"/>
                <w:sz w:val="20"/>
                <w:szCs w:val="20"/>
                <w:lang w:val="es-EC"/>
              </w:rPr>
            </w:pPr>
            <w:r>
              <w:rPr>
                <w:rFonts w:asciiTheme="minorHAnsi" w:hAnsiTheme="minorHAnsi" w:cstheme="minorHAnsi"/>
                <w:sz w:val="20"/>
                <w:szCs w:val="20"/>
                <w:lang w:val="es-EC"/>
              </w:rPr>
              <w:t>[indicar número del servicio]</w:t>
            </w:r>
          </w:p>
        </w:tc>
        <w:tc>
          <w:tcPr>
            <w:tcW w:w="3690" w:type="dxa"/>
            <w:gridSpan w:val="2"/>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sz w:val="20"/>
                <w:szCs w:val="20"/>
                <w:lang w:val="es-EC"/>
              </w:rPr>
            </w:pPr>
            <w:r>
              <w:rPr>
                <w:rFonts w:asciiTheme="minorHAnsi" w:hAnsiTheme="minorHAnsi" w:cstheme="minorHAnsi"/>
                <w:sz w:val="20"/>
                <w:szCs w:val="20"/>
                <w:lang w:val="es-EC"/>
              </w:rPr>
              <w:t>[indicar el nombre de los Servicios]</w:t>
            </w:r>
          </w:p>
        </w:tc>
        <w:tc>
          <w:tcPr>
            <w:tcW w:w="1170" w:type="dxa"/>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sz w:val="20"/>
                <w:szCs w:val="20"/>
                <w:lang w:val="es-EC"/>
              </w:rPr>
            </w:pPr>
            <w:r>
              <w:rPr>
                <w:rFonts w:asciiTheme="minorHAnsi" w:hAnsiTheme="minorHAnsi" w:cstheme="minorHAnsi"/>
                <w:sz w:val="20"/>
                <w:szCs w:val="20"/>
                <w:lang w:val="es-EC"/>
              </w:rPr>
              <w:t>[indicar el país de origen de los Servicios]</w:t>
            </w:r>
          </w:p>
        </w:tc>
        <w:tc>
          <w:tcPr>
            <w:tcW w:w="1710" w:type="dxa"/>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sz w:val="20"/>
                <w:szCs w:val="20"/>
                <w:lang w:val="es-EC"/>
              </w:rPr>
            </w:pPr>
            <w:r>
              <w:rPr>
                <w:rFonts w:asciiTheme="minorHAnsi" w:hAnsiTheme="minorHAnsi" w:cstheme="minorHAnsi"/>
                <w:sz w:val="20"/>
                <w:szCs w:val="20"/>
                <w:lang w:val="es-EC"/>
              </w:rPr>
              <w:t>[indicar la fecha de entrega al lugar de destino final por servicio]</w:t>
            </w:r>
          </w:p>
        </w:tc>
        <w:tc>
          <w:tcPr>
            <w:tcW w:w="3060" w:type="dxa"/>
            <w:gridSpan w:val="2"/>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sz w:val="20"/>
                <w:szCs w:val="20"/>
                <w:lang w:val="es-EC"/>
              </w:rPr>
            </w:pPr>
            <w:r>
              <w:rPr>
                <w:rFonts w:asciiTheme="minorHAnsi" w:hAnsiTheme="minorHAnsi" w:cstheme="minorHAnsi"/>
                <w:sz w:val="20"/>
                <w:szCs w:val="20"/>
                <w:lang w:val="es-EC"/>
              </w:rPr>
              <w:t>[indicar le número de unidades a suministrar  y el nombre de la unidad física de medida]</w:t>
            </w:r>
          </w:p>
        </w:tc>
        <w:tc>
          <w:tcPr>
            <w:tcW w:w="1530" w:type="dxa"/>
            <w:tcBorders>
              <w:top w:val="single" w:color="auto" w:sz="6" w:space="0"/>
              <w:left w:val="single" w:color="auto" w:sz="6" w:space="0"/>
              <w:bottom w:val="single" w:color="auto" w:sz="6" w:space="0"/>
              <w:right w:val="single" w:color="auto" w:sz="6" w:space="0"/>
            </w:tcBorders>
          </w:tcPr>
          <w:p>
            <w:pPr>
              <w:suppressAutoHyphens/>
              <w:rPr>
                <w:rFonts w:asciiTheme="minorHAnsi" w:hAnsiTheme="minorHAnsi" w:cstheme="minorHAnsi"/>
                <w:sz w:val="20"/>
                <w:szCs w:val="20"/>
                <w:lang w:val="es-EC"/>
              </w:rPr>
            </w:pPr>
            <w:r>
              <w:rPr>
                <w:rFonts w:asciiTheme="minorHAnsi" w:hAnsiTheme="minorHAnsi" w:cstheme="minorHAnsi"/>
                <w:sz w:val="20"/>
                <w:szCs w:val="20"/>
                <w:lang w:val="es-EC"/>
              </w:rPr>
              <w:t>[indicar el precio unitario por servicio]</w:t>
            </w:r>
          </w:p>
        </w:tc>
        <w:tc>
          <w:tcPr>
            <w:tcW w:w="1710" w:type="dxa"/>
            <w:tcBorders>
              <w:top w:val="single" w:color="auto" w:sz="6" w:space="0"/>
              <w:left w:val="single" w:color="auto" w:sz="6" w:space="0"/>
              <w:bottom w:val="single" w:color="auto" w:sz="6" w:space="0"/>
              <w:right w:val="double" w:color="auto" w:sz="6" w:space="0"/>
            </w:tcBorders>
          </w:tcPr>
          <w:p>
            <w:pPr>
              <w:suppressAutoHyphens/>
              <w:rPr>
                <w:rFonts w:asciiTheme="minorHAnsi" w:hAnsiTheme="minorHAnsi" w:cstheme="minorHAnsi"/>
                <w:sz w:val="20"/>
                <w:szCs w:val="20"/>
                <w:lang w:val="es-EC"/>
              </w:rPr>
            </w:pPr>
            <w:r>
              <w:rPr>
                <w:rFonts w:asciiTheme="minorHAnsi" w:hAnsiTheme="minorHAnsi" w:cstheme="minorHAnsi"/>
                <w:sz w:val="20"/>
                <w:szCs w:val="20"/>
                <w:lang w:val="es-EC"/>
              </w:rPr>
              <w:t>[indicar el precio total por servicio]</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390" w:hRule="atLeast"/>
        </w:trPr>
        <w:tc>
          <w:tcPr>
            <w:tcW w:w="810" w:type="dxa"/>
            <w:tcBorders>
              <w:top w:val="single" w:color="auto" w:sz="6" w:space="0"/>
              <w:left w:val="doub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3690" w:type="dxa"/>
            <w:gridSpan w:val="2"/>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170" w:type="dxa"/>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710" w:type="dxa"/>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3060" w:type="dxa"/>
            <w:gridSpan w:val="2"/>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530" w:type="dxa"/>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710" w:type="dxa"/>
            <w:tcBorders>
              <w:top w:val="single" w:color="auto" w:sz="6" w:space="0"/>
              <w:left w:val="single" w:color="auto" w:sz="6" w:space="0"/>
              <w:bottom w:val="single" w:color="auto" w:sz="6" w:space="0"/>
              <w:right w:val="doub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390" w:hRule="atLeast"/>
        </w:trPr>
        <w:tc>
          <w:tcPr>
            <w:tcW w:w="810" w:type="dxa"/>
            <w:tcBorders>
              <w:top w:val="single" w:color="auto" w:sz="6" w:space="0"/>
              <w:left w:val="doub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3690" w:type="dxa"/>
            <w:gridSpan w:val="2"/>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170" w:type="dxa"/>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710" w:type="dxa"/>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3060" w:type="dxa"/>
            <w:gridSpan w:val="2"/>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530" w:type="dxa"/>
            <w:tcBorders>
              <w:top w:val="single" w:color="auto" w:sz="6" w:space="0"/>
              <w:left w:val="single" w:color="auto" w:sz="6" w:space="0"/>
              <w:bottom w:val="single" w:color="auto" w:sz="6" w:space="0"/>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710" w:type="dxa"/>
            <w:tcBorders>
              <w:top w:val="single" w:color="auto" w:sz="6" w:space="0"/>
              <w:left w:val="single" w:color="auto" w:sz="6" w:space="0"/>
              <w:bottom w:val="single" w:color="auto" w:sz="6" w:space="0"/>
              <w:right w:val="doub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390" w:hRule="atLeast"/>
        </w:trPr>
        <w:tc>
          <w:tcPr>
            <w:tcW w:w="810" w:type="dxa"/>
            <w:tcBorders>
              <w:top w:val="single" w:color="auto" w:sz="6" w:space="0"/>
              <w:left w:val="double" w:color="auto" w:sz="6" w:space="0"/>
              <w:bottom w:val="nil"/>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3690" w:type="dxa"/>
            <w:gridSpan w:val="2"/>
            <w:tcBorders>
              <w:top w:val="single" w:color="auto" w:sz="6" w:space="0"/>
              <w:left w:val="single" w:color="auto" w:sz="6" w:space="0"/>
              <w:bottom w:val="nil"/>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170" w:type="dxa"/>
            <w:tcBorders>
              <w:top w:val="single" w:color="auto" w:sz="6" w:space="0"/>
              <w:left w:val="single" w:color="auto" w:sz="6" w:space="0"/>
              <w:bottom w:val="nil"/>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710" w:type="dxa"/>
            <w:tcBorders>
              <w:top w:val="single" w:color="auto" w:sz="6" w:space="0"/>
              <w:left w:val="single" w:color="auto" w:sz="6" w:space="0"/>
              <w:bottom w:val="nil"/>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3060" w:type="dxa"/>
            <w:gridSpan w:val="2"/>
            <w:tcBorders>
              <w:top w:val="single" w:color="auto" w:sz="6" w:space="0"/>
              <w:left w:val="single" w:color="auto" w:sz="6" w:space="0"/>
              <w:bottom w:val="nil"/>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530" w:type="dxa"/>
            <w:tcBorders>
              <w:top w:val="single" w:color="auto" w:sz="6" w:space="0"/>
              <w:left w:val="single" w:color="auto" w:sz="6" w:space="0"/>
              <w:bottom w:val="nil"/>
              <w:right w:val="sing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c>
          <w:tcPr>
            <w:tcW w:w="1710" w:type="dxa"/>
            <w:tcBorders>
              <w:top w:val="single" w:color="auto" w:sz="6" w:space="0"/>
              <w:left w:val="single" w:color="auto" w:sz="6" w:space="0"/>
              <w:bottom w:val="nil"/>
              <w:right w:val="doub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333" w:hRule="atLeast"/>
        </w:trPr>
        <w:tc>
          <w:tcPr>
            <w:tcW w:w="9900" w:type="dxa"/>
            <w:gridSpan w:val="6"/>
            <w:tcBorders>
              <w:top w:val="double" w:color="auto" w:sz="6" w:space="0"/>
              <w:left w:val="nil"/>
              <w:bottom w:val="nil"/>
              <w:right w:val="double" w:color="auto" w:sz="6" w:space="0"/>
            </w:tcBorders>
          </w:tcPr>
          <w:p>
            <w:pPr>
              <w:suppressAutoHyphens/>
              <w:spacing w:after="0" w:line="240" w:lineRule="auto"/>
              <w:rPr>
                <w:rFonts w:eastAsia="Times New Roman" w:asciiTheme="minorHAnsi" w:hAnsiTheme="minorHAnsi" w:cstheme="minorHAnsi"/>
                <w:sz w:val="20"/>
                <w:szCs w:val="20"/>
                <w:lang w:val="es-EC"/>
              </w:rPr>
            </w:pPr>
          </w:p>
        </w:tc>
        <w:tc>
          <w:tcPr>
            <w:tcW w:w="2070" w:type="dxa"/>
            <w:gridSpan w:val="2"/>
            <w:tcBorders>
              <w:top w:val="double" w:color="auto" w:sz="6" w:space="0"/>
              <w:left w:val="double" w:color="auto" w:sz="6" w:space="0"/>
              <w:bottom w:val="double" w:color="auto" w:sz="6" w:space="0"/>
              <w:right w:val="double" w:color="auto" w:sz="6" w:space="0"/>
            </w:tcBorders>
          </w:tcPr>
          <w:p>
            <w:pPr>
              <w:suppressAutoHyphens/>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Precio Total de la Oferta </w:t>
            </w:r>
          </w:p>
        </w:tc>
        <w:tc>
          <w:tcPr>
            <w:tcW w:w="1710" w:type="dxa"/>
            <w:tcBorders>
              <w:top w:val="double" w:color="auto" w:sz="6" w:space="0"/>
              <w:left w:val="double" w:color="auto" w:sz="6" w:space="0"/>
              <w:bottom w:val="double" w:color="auto" w:sz="6" w:space="0"/>
              <w:right w:val="double" w:color="auto" w:sz="6" w:space="0"/>
            </w:tcBorders>
          </w:tcPr>
          <w:p>
            <w:pPr>
              <w:suppressAutoHyphens/>
              <w:spacing w:before="60" w:after="60" w:line="240" w:lineRule="auto"/>
              <w:rPr>
                <w:rFonts w:eastAsia="Times New Roman" w:asciiTheme="minorHAnsi" w:hAnsiTheme="minorHAnsi" w:cstheme="minorHAnsi"/>
                <w:sz w:val="20"/>
                <w:szCs w:val="20"/>
                <w:lang w:val="es-EC"/>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72" w:type="dxa"/>
            <w:bottom w:w="0" w:type="dxa"/>
            <w:right w:w="72" w:type="dxa"/>
          </w:tblCellMar>
        </w:tblPrEx>
        <w:trPr>
          <w:cantSplit/>
          <w:trHeight w:val="495" w:hRule="exact"/>
        </w:trPr>
        <w:tc>
          <w:tcPr>
            <w:tcW w:w="13680" w:type="dxa"/>
            <w:gridSpan w:val="9"/>
            <w:tcBorders>
              <w:top w:val="nil"/>
              <w:left w:val="nil"/>
              <w:bottom w:val="nil"/>
              <w:right w:val="nil"/>
            </w:tcBorders>
          </w:tcPr>
          <w:p>
            <w:pPr>
              <w:suppressAutoHyphens/>
              <w:spacing w:before="100" w:after="0" w:line="240" w:lineRule="auto"/>
              <w:rPr>
                <w:rFonts w:eastAsia="Times New Roman" w:asciiTheme="minorHAnsi" w:hAnsiTheme="minorHAnsi" w:cstheme="minorHAnsi"/>
                <w:sz w:val="20"/>
                <w:szCs w:val="20"/>
                <w:lang w:val="es-EC"/>
              </w:rPr>
            </w:pPr>
            <w:r>
              <w:rPr>
                <w:rFonts w:asciiTheme="minorHAnsi" w:hAnsiTheme="minorHAnsi" w:cstheme="minorHAnsi"/>
                <w:sz w:val="20"/>
                <w:szCs w:val="20"/>
                <w:lang w:val="es-EC"/>
              </w:rPr>
              <w:t xml:space="preserve">Nombre del Oferente </w:t>
            </w:r>
            <w:r>
              <w:rPr>
                <w:rFonts w:asciiTheme="minorHAnsi" w:hAnsiTheme="minorHAnsi" w:cstheme="minorHAnsi"/>
                <w:i/>
                <w:sz w:val="20"/>
                <w:szCs w:val="20"/>
                <w:lang w:val="es-EC"/>
              </w:rPr>
              <w:t xml:space="preserve">[indicar el nombre completo del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w:t>
            </w:r>
            <w:r>
              <w:rPr>
                <w:rFonts w:asciiTheme="minorHAnsi" w:hAnsiTheme="minorHAnsi" w:cstheme="minorHAnsi"/>
                <w:sz w:val="20"/>
                <w:szCs w:val="20"/>
                <w:lang w:val="es-EC"/>
              </w:rPr>
              <w:t xml:space="preserve">Firma del Oferente </w:t>
            </w:r>
            <w:r>
              <w:rPr>
                <w:rFonts w:asciiTheme="minorHAnsi" w:hAnsiTheme="minorHAnsi" w:cstheme="minorHAnsi"/>
                <w:i/>
                <w:sz w:val="20"/>
                <w:szCs w:val="20"/>
                <w:lang w:val="es-EC"/>
              </w:rPr>
              <w:t xml:space="preserve">[firma de la persona que firma la </w:t>
            </w:r>
            <w:r>
              <w:rPr>
                <w:rFonts w:asciiTheme="minorHAnsi" w:hAnsiTheme="minorHAnsi" w:cstheme="minorHAnsi"/>
                <w:i/>
                <w:iCs/>
                <w:sz w:val="20"/>
                <w:szCs w:val="20"/>
                <w:lang w:val="es-EC"/>
              </w:rPr>
              <w:t>oferta</w:t>
            </w:r>
            <w:r>
              <w:rPr>
                <w:rFonts w:asciiTheme="minorHAnsi" w:hAnsiTheme="minorHAnsi" w:cstheme="minorHAnsi"/>
                <w:i/>
                <w:sz w:val="20"/>
                <w:szCs w:val="20"/>
                <w:lang w:val="es-EC"/>
              </w:rPr>
              <w:t>]</w:t>
            </w:r>
            <w:r>
              <w:rPr>
                <w:rFonts w:asciiTheme="minorHAnsi" w:hAnsiTheme="minorHAnsi" w:cstheme="minorHAnsi"/>
                <w:sz w:val="20"/>
                <w:szCs w:val="20"/>
                <w:lang w:val="es-EC"/>
              </w:rPr>
              <w:t xml:space="preserve">Fecha </w:t>
            </w:r>
            <w:r>
              <w:rPr>
                <w:rFonts w:asciiTheme="minorHAnsi" w:hAnsiTheme="minorHAnsi" w:cstheme="minorHAnsi"/>
                <w:i/>
                <w:sz w:val="20"/>
                <w:szCs w:val="20"/>
                <w:lang w:val="es-EC"/>
              </w:rPr>
              <w:t>[Indicar Fecha]</w:t>
            </w:r>
          </w:p>
        </w:tc>
      </w:tr>
    </w:tbl>
    <w:p>
      <w:pPr>
        <w:spacing w:before="60" w:after="60" w:line="240" w:lineRule="auto"/>
        <w:rPr>
          <w:rFonts w:asciiTheme="minorHAnsi" w:hAnsiTheme="minorHAnsi" w:cstheme="minorHAnsi"/>
          <w:b/>
          <w:sz w:val="20"/>
          <w:szCs w:val="20"/>
          <w:lang w:val="es-EC"/>
        </w:rPr>
      </w:pPr>
    </w:p>
    <w:p>
      <w:pPr>
        <w:rPr>
          <w:rFonts w:asciiTheme="minorHAnsi" w:hAnsiTheme="minorHAnsi" w:cstheme="minorHAnsi"/>
          <w:b/>
          <w:sz w:val="20"/>
          <w:szCs w:val="20"/>
          <w:lang w:val="es-EC"/>
        </w:rPr>
        <w:sectPr>
          <w:pgSz w:w="15840" w:h="12240" w:orient="landscape"/>
          <w:pgMar w:top="1440" w:right="1440" w:bottom="1440" w:left="1440" w:header="720" w:footer="720" w:gutter="0"/>
          <w:cols w:space="720" w:num="1"/>
          <w:docGrid w:linePitch="360" w:charSpace="0"/>
        </w:sect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bookmarkStart w:id="321" w:name="_Toc463858680"/>
      <w:bookmarkStart w:id="322" w:name="_Toc478103478"/>
      <w:bookmarkStart w:id="323" w:name="_Toc317173258"/>
      <w:bookmarkStart w:id="324" w:name="_Toc106181173"/>
      <w:r>
        <w:rPr>
          <w:rFonts w:eastAsia="Times New Roman" w:asciiTheme="minorHAnsi" w:hAnsiTheme="minorHAnsi" w:cstheme="minorHAnsi"/>
          <w:b/>
          <w:bCs/>
          <w:sz w:val="20"/>
          <w:szCs w:val="20"/>
          <w:lang w:val="es-EC"/>
        </w:rPr>
        <w:t>Garantía de Mantenimiento de Oferta</w:t>
      </w:r>
      <w:bookmarkEnd w:id="321"/>
      <w:r>
        <w:rPr>
          <w:rFonts w:eastAsia="Times New Roman" w:asciiTheme="minorHAnsi" w:hAnsiTheme="minorHAnsi" w:cstheme="minorHAnsi"/>
          <w:b/>
          <w:bCs/>
          <w:sz w:val="20"/>
          <w:szCs w:val="20"/>
          <w:lang w:val="es-EC"/>
        </w:rPr>
        <w:t xml:space="preserve"> </w:t>
      </w:r>
      <w:r>
        <w:rPr>
          <w:rFonts w:eastAsia="Times New Roman" w:asciiTheme="minorHAnsi" w:hAnsiTheme="minorHAnsi" w:cstheme="minorHAnsi"/>
          <w:b/>
          <w:bCs/>
          <w:color w:val="2E74B5"/>
          <w:sz w:val="20"/>
          <w:szCs w:val="20"/>
          <w:lang w:val="es-EC"/>
        </w:rPr>
        <w:t>(No aplica)</w:t>
      </w:r>
      <w:bookmarkEnd w:id="322"/>
    </w:p>
    <w:p>
      <w:pPr>
        <w:jc w:val="center"/>
        <w:rPr>
          <w:rFonts w:asciiTheme="minorHAnsi" w:hAnsiTheme="minorHAnsi" w:cstheme="minorHAnsi"/>
          <w:sz w:val="20"/>
          <w:szCs w:val="20"/>
          <w:lang w:val="es-EC"/>
        </w:rPr>
      </w:pPr>
      <w:r>
        <w:rPr>
          <w:rFonts w:asciiTheme="minorHAnsi" w:hAnsiTheme="minorHAnsi" w:cstheme="minorHAnsi"/>
          <w:sz w:val="20"/>
          <w:szCs w:val="20"/>
          <w:lang w:val="es-EC"/>
        </w:rPr>
        <w:t>(Garantía Bancaria)</w:t>
      </w:r>
      <w:bookmarkEnd w:id="323"/>
      <w:bookmarkEnd w:id="324"/>
    </w:p>
    <w:p>
      <w:pPr>
        <w:spacing w:after="0" w:line="240" w:lineRule="auto"/>
        <w:jc w:val="center"/>
        <w:rPr>
          <w:rFonts w:eastAsia="Times New Roman" w:asciiTheme="minorHAnsi" w:hAnsiTheme="minorHAnsi" w:cstheme="minorHAnsi"/>
          <w:sz w:val="20"/>
          <w:szCs w:val="20"/>
          <w:lang w:val="es-EC"/>
        </w:rPr>
      </w:pPr>
    </w:p>
    <w:p>
      <w:pPr>
        <w:spacing w:before="60" w:after="60" w:line="240" w:lineRule="auto"/>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[El banco completará este formulario de Garantía Bancaria según las instrucciones indicadas]</w:t>
      </w:r>
    </w:p>
    <w:p>
      <w:pPr>
        <w:spacing w:before="60" w:after="60" w:line="240" w:lineRule="auto"/>
        <w:jc w:val="both"/>
        <w:rPr>
          <w:rFonts w:eastAsia="Arial Unicode MS" w:asciiTheme="minorHAnsi" w:hAnsiTheme="minorHAnsi" w:cstheme="minorHAnsi"/>
          <w:i/>
          <w:iCs/>
          <w:sz w:val="20"/>
          <w:szCs w:val="20"/>
          <w:lang w:val="es-EC"/>
        </w:rPr>
      </w:pPr>
      <w:r>
        <w:rPr>
          <w:rFonts w:eastAsia="Arial Unicode MS" w:asciiTheme="minorHAnsi" w:hAnsiTheme="minorHAnsi" w:cstheme="minorHAnsi"/>
          <w:i/>
          <w:iCs/>
          <w:sz w:val="20"/>
          <w:szCs w:val="20"/>
          <w:lang w:val="es-EC"/>
        </w:rPr>
        <w:t>[Membrete y código de identificación SWIFT del banco que emite la garantía]</w:t>
      </w:r>
    </w:p>
    <w:p>
      <w:pPr>
        <w:pStyle w:val="84"/>
        <w:spacing w:before="60" w:after="60"/>
        <w:jc w:val="both"/>
        <w:rPr>
          <w:rFonts w:asciiTheme="minorHAnsi" w:hAnsiTheme="minorHAnsi" w:cstheme="minorHAnsi"/>
          <w:b/>
          <w:bCs/>
          <w:color w:val="auto"/>
          <w:sz w:val="20"/>
          <w:szCs w:val="20"/>
          <w:lang w:val="es-EC"/>
        </w:rPr>
      </w:pP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b/>
          <w:bCs/>
          <w:color w:val="auto"/>
          <w:sz w:val="20"/>
          <w:szCs w:val="20"/>
          <w:lang w:val="es-EC"/>
        </w:rPr>
        <w:t xml:space="preserve">Beneficiario: </w:t>
      </w:r>
      <w:r>
        <w:rPr>
          <w:rFonts w:asciiTheme="minorHAnsi" w:hAnsiTheme="minorHAnsi" w:cstheme="minorHAnsi"/>
          <w:i/>
          <w:iCs/>
          <w:color w:val="auto"/>
          <w:sz w:val="20"/>
          <w:szCs w:val="20"/>
          <w:lang w:val="es-EC"/>
        </w:rPr>
        <w:t xml:space="preserve">[Comprador debe indicar su nombre y dirección] </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b/>
          <w:bCs/>
          <w:color w:val="auto"/>
          <w:sz w:val="20"/>
          <w:szCs w:val="20"/>
          <w:lang w:val="es-EC"/>
        </w:rPr>
        <w:t xml:space="preserve">Llamado No.: </w:t>
      </w:r>
      <w:r>
        <w:rPr>
          <w:rFonts w:asciiTheme="minorHAnsi" w:hAnsiTheme="minorHAnsi" w:cstheme="minorHAnsi"/>
          <w:i/>
          <w:iCs/>
          <w:color w:val="auto"/>
          <w:sz w:val="20"/>
          <w:szCs w:val="20"/>
          <w:lang w:val="es-EC"/>
        </w:rPr>
        <w:t>[Comprador debe indicar el número de referencia del Llamado de Licitación]</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b/>
          <w:bCs/>
          <w:color w:val="auto"/>
          <w:sz w:val="20"/>
          <w:szCs w:val="20"/>
          <w:lang w:val="es-EC"/>
        </w:rPr>
        <w:t>Alternativa No</w:t>
      </w:r>
      <w:r>
        <w:rPr>
          <w:rFonts w:asciiTheme="minorHAnsi" w:hAnsiTheme="minorHAnsi" w:cstheme="minorHAnsi"/>
          <w:i/>
          <w:iCs/>
          <w:color w:val="auto"/>
          <w:sz w:val="20"/>
          <w:szCs w:val="20"/>
          <w:lang w:val="es-EC"/>
        </w:rPr>
        <w:t>.: [Indique el número de identificación si esta oferta es una oferta alternativa]</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b/>
          <w:bCs/>
          <w:color w:val="auto"/>
          <w:sz w:val="20"/>
          <w:szCs w:val="20"/>
          <w:lang w:val="es-EC"/>
        </w:rPr>
        <w:t xml:space="preserve">Date: </w:t>
      </w:r>
      <w:r>
        <w:rPr>
          <w:rFonts w:asciiTheme="minorHAnsi" w:hAnsiTheme="minorHAnsi" w:cstheme="minorHAnsi"/>
          <w:i/>
          <w:iCs/>
          <w:color w:val="auto"/>
          <w:sz w:val="20"/>
          <w:szCs w:val="20"/>
          <w:lang w:val="es-EC"/>
        </w:rPr>
        <w:t>[Indique fecha de emisión]</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b/>
          <w:bCs/>
          <w:color w:val="auto"/>
          <w:sz w:val="20"/>
          <w:szCs w:val="20"/>
          <w:lang w:val="es-EC"/>
        </w:rPr>
        <w:t xml:space="preserve">Garantía de Mantenimiento de Oferta No.: </w:t>
      </w:r>
      <w:r>
        <w:rPr>
          <w:rFonts w:asciiTheme="minorHAnsi" w:hAnsiTheme="minorHAnsi" w:cstheme="minorHAnsi"/>
          <w:i/>
          <w:iCs/>
          <w:color w:val="auto"/>
          <w:sz w:val="20"/>
          <w:szCs w:val="20"/>
          <w:lang w:val="es-EC"/>
        </w:rPr>
        <w:t xml:space="preserve">[Indique número] </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b/>
          <w:bCs/>
          <w:color w:val="auto"/>
          <w:sz w:val="20"/>
          <w:szCs w:val="20"/>
          <w:lang w:val="es-EC"/>
        </w:rPr>
        <w:t xml:space="preserve">Emisor de la Garantía: </w:t>
      </w:r>
      <w:r>
        <w:rPr>
          <w:rFonts w:asciiTheme="minorHAnsi" w:hAnsiTheme="minorHAnsi" w:cstheme="minorHAnsi"/>
          <w:i/>
          <w:iCs/>
          <w:color w:val="auto"/>
          <w:sz w:val="20"/>
          <w:szCs w:val="20"/>
          <w:lang w:val="es-EC"/>
        </w:rPr>
        <w:t xml:space="preserve">[Indique el nombre y dirección del lugar de emisión, a menos que se indique en el membrete] </w:t>
      </w:r>
    </w:p>
    <w:p>
      <w:pPr>
        <w:pStyle w:val="84"/>
        <w:spacing w:before="60" w:after="60"/>
        <w:jc w:val="both"/>
        <w:rPr>
          <w:rFonts w:asciiTheme="minorHAnsi" w:hAnsiTheme="minorHAnsi" w:cstheme="minorHAnsi"/>
          <w:color w:val="auto"/>
          <w:sz w:val="20"/>
          <w:szCs w:val="20"/>
          <w:lang w:val="es-EC"/>
        </w:rPr>
      </w:pP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 xml:space="preserve">Hemos sido informados que </w:t>
      </w:r>
      <w:r>
        <w:rPr>
          <w:rFonts w:asciiTheme="minorHAnsi" w:hAnsiTheme="minorHAnsi" w:cstheme="minorHAnsi"/>
          <w:i/>
          <w:iCs/>
          <w:color w:val="auto"/>
          <w:sz w:val="20"/>
          <w:szCs w:val="20"/>
          <w:lang w:val="es-EC"/>
        </w:rPr>
        <w:t xml:space="preserve">[Nombre del Oferente o nombre del APCA (ya sea constituido legalmente o con promesa de constitución) o los nombres de todos los miembros] </w:t>
      </w:r>
      <w:r>
        <w:rPr>
          <w:rFonts w:asciiTheme="minorHAnsi" w:hAnsiTheme="minorHAnsi" w:cstheme="minorHAnsi"/>
          <w:color w:val="auto"/>
          <w:sz w:val="20"/>
          <w:szCs w:val="20"/>
          <w:lang w:val="es-EC"/>
        </w:rPr>
        <w:t xml:space="preserve">(en adelante "el Oferente") ha presentado o presentaré al Beneficiario su oferta (en adelante "la Oferta") para el suministro de </w:t>
      </w:r>
      <w:r>
        <w:rPr>
          <w:rFonts w:asciiTheme="minorHAnsi" w:hAnsiTheme="minorHAnsi" w:cstheme="minorHAnsi"/>
          <w:i/>
          <w:color w:val="auto"/>
          <w:sz w:val="20"/>
          <w:szCs w:val="20"/>
          <w:lang w:val="es-EC"/>
        </w:rPr>
        <w:t>[indique una descripción de los bienes]</w:t>
      </w:r>
      <w:r>
        <w:rPr>
          <w:rFonts w:asciiTheme="minorHAnsi" w:hAnsiTheme="minorHAnsi" w:cstheme="minorHAnsi"/>
          <w:color w:val="auto"/>
          <w:sz w:val="20"/>
          <w:szCs w:val="20"/>
          <w:lang w:val="es-EC"/>
        </w:rPr>
        <w:t xml:space="preserve"> bajo el Llamado a Licitación No. </w:t>
      </w:r>
      <w:r>
        <w:rPr>
          <w:rFonts w:asciiTheme="minorHAnsi" w:hAnsiTheme="minorHAnsi" w:cstheme="minorHAnsi"/>
          <w:i/>
          <w:color w:val="auto"/>
          <w:sz w:val="20"/>
          <w:szCs w:val="20"/>
          <w:lang w:val="es-EC"/>
        </w:rPr>
        <w:t>[Indique número]</w:t>
      </w:r>
      <w:r>
        <w:rPr>
          <w:rFonts w:asciiTheme="minorHAnsi" w:hAnsiTheme="minorHAnsi" w:cstheme="minorHAnsi"/>
          <w:color w:val="auto"/>
          <w:sz w:val="20"/>
          <w:szCs w:val="20"/>
          <w:lang w:val="es-EC"/>
        </w:rPr>
        <w:t xml:space="preserve"> (En adelante “el Llamado”). </w:t>
      </w:r>
    </w:p>
    <w:p>
      <w:pPr>
        <w:pStyle w:val="84"/>
        <w:spacing w:before="60" w:after="60"/>
        <w:jc w:val="both"/>
        <w:rPr>
          <w:rFonts w:asciiTheme="minorHAnsi" w:hAnsiTheme="minorHAnsi" w:cstheme="minorHAnsi"/>
          <w:color w:val="auto"/>
          <w:sz w:val="20"/>
          <w:szCs w:val="20"/>
          <w:lang w:val="es-EC"/>
        </w:rPr>
      </w:pP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 xml:space="preserve">Adicionalmente, entendemos que de acuerdo con las condiciones del Beneficiario, la oferta debe estar sustentada por una garantía de mantenimiento de oferta. </w:t>
      </w:r>
    </w:p>
    <w:p>
      <w:pPr>
        <w:pStyle w:val="84"/>
        <w:spacing w:before="60" w:after="60"/>
        <w:jc w:val="both"/>
        <w:rPr>
          <w:rFonts w:asciiTheme="minorHAnsi" w:hAnsiTheme="minorHAnsi" w:cstheme="minorHAnsi"/>
          <w:color w:val="auto"/>
          <w:sz w:val="20"/>
          <w:szCs w:val="20"/>
          <w:lang w:val="es-EC"/>
        </w:rPr>
      </w:pP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 xml:space="preserve">A solicitud del Consultor, nosotros, </w:t>
      </w:r>
      <w:r>
        <w:rPr>
          <w:rFonts w:asciiTheme="minorHAnsi" w:hAnsiTheme="minorHAnsi" w:cstheme="minorHAnsi"/>
          <w:i/>
          <w:iCs/>
          <w:color w:val="auto"/>
          <w:sz w:val="20"/>
          <w:szCs w:val="20"/>
          <w:lang w:val="es-EC"/>
        </w:rPr>
        <w:t>[Nombre del Banco]</w:t>
      </w:r>
      <w:r>
        <w:rPr>
          <w:rFonts w:asciiTheme="minorHAnsi" w:hAnsiTheme="minorHAnsi" w:cstheme="minorHAnsi"/>
          <w:color w:val="auto"/>
          <w:sz w:val="20"/>
          <w:szCs w:val="20"/>
          <w:lang w:val="es-EC"/>
        </w:rPr>
        <w:t xml:space="preserve"> por el presente nos comprometemos de manera irrevocable a pagar al Beneficiario cualquier suma o sumas que no excedan en total el monto de  </w:t>
      </w:r>
      <w:r>
        <w:rPr>
          <w:rFonts w:asciiTheme="minorHAnsi" w:hAnsiTheme="minorHAnsi" w:cstheme="minorHAnsi"/>
          <w:i/>
          <w:iCs/>
          <w:color w:val="auto"/>
          <w:sz w:val="20"/>
          <w:szCs w:val="20"/>
          <w:lang w:val="es-EC"/>
        </w:rPr>
        <w:t>[monto en palabras]</w:t>
      </w:r>
      <w:r>
        <w:rPr>
          <w:rFonts w:asciiTheme="minorHAnsi" w:hAnsiTheme="minorHAnsi" w:cstheme="minorHAnsi"/>
          <w:color w:val="auto"/>
          <w:sz w:val="20"/>
          <w:szCs w:val="20"/>
          <w:lang w:val="es-EC"/>
        </w:rPr>
        <w:t xml:space="preserve"> (</w:t>
      </w:r>
      <w:r>
        <w:rPr>
          <w:rFonts w:asciiTheme="minorHAnsi" w:hAnsiTheme="minorHAnsi" w:cstheme="minorHAnsi"/>
          <w:i/>
          <w:iCs/>
          <w:color w:val="auto"/>
          <w:sz w:val="20"/>
          <w:szCs w:val="20"/>
          <w:lang w:val="es-EC"/>
        </w:rPr>
        <w:t>[monto en cifras]</w:t>
      </w:r>
      <w:r>
        <w:rPr>
          <w:rFonts w:asciiTheme="minorHAnsi" w:hAnsiTheme="minorHAnsi" w:cstheme="minorHAnsi"/>
          <w:color w:val="auto"/>
          <w:sz w:val="20"/>
          <w:szCs w:val="20"/>
          <w:lang w:val="es-EC"/>
        </w:rPr>
        <w:t xml:space="preserve">) una vez recibamos del Beneficiario la reclamación por escrito y una declaración, ya sea en el mismo documento o por separado por escrito y firmado, estableciendo que el Consultor está en violación de su obligación según el Contrato debido a que el Oferente: </w:t>
      </w:r>
    </w:p>
    <w:p>
      <w:pPr>
        <w:pStyle w:val="84"/>
        <w:spacing w:before="60" w:after="60"/>
        <w:jc w:val="both"/>
        <w:rPr>
          <w:rFonts w:asciiTheme="minorHAnsi" w:hAnsiTheme="minorHAnsi" w:cstheme="minorHAnsi"/>
          <w:color w:val="auto"/>
          <w:sz w:val="20"/>
          <w:szCs w:val="20"/>
          <w:lang w:val="es-EC"/>
        </w:rPr>
      </w:pPr>
    </w:p>
    <w:p>
      <w:pPr>
        <w:numPr>
          <w:ilvl w:val="0"/>
          <w:numId w:val="94"/>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Ha retirado su oferta durante el periodo de validez de acuerdo con el Formulario de Presentación de Oferta (“Periodo de Validez de la Oferta”), o cualquier extensión de dicho periodo aceptado por el Oferente; o</w:t>
      </w:r>
    </w:p>
    <w:p>
      <w:pPr>
        <w:numPr>
          <w:ilvl w:val="0"/>
          <w:numId w:val="94"/>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 si después de haber sido notificados por el Comprador de la aceptación de su oferta dentro del período de validez de la oferta como se establece en el Formulario de Presentación de Oferta, o dentro del período prorrogado por el Oferente, (i) no firma o rehúsa firmar el Contrato, si corresponde, o (ii) no suministra o rehúsa suministrar la Garantía de Cumplimiento de conformidad con las IAO. </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Esta Garantía expirará (a) en el caso del Oferente seleccionado, cuando recibamos en nuestras oficinas las copias del Contrato firmado por el Oferente y de la Garantía de Cumplimiento emitida a ustedes por instrucciones del Oferente, o (b) en el caso de no ser el Oferente seleccionado, cuando ocurra el primero de los siguientes hechos: (i) haber recibido nosotros una copia de su comunicación al Oferente indicándole que el mismo no fue seleccionado; o (ii) haber transcurrido veintiocho días después de la expiración de la oferta.</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 xml:space="preserve">Consecuentemente, cualquier solicitud de pago bajo esta Garantía deberá recibirse en esta institución en o antes de la fecha límite aquí estipulada. </w:t>
      </w: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Esta Garantía está sujeta a las “Reglas Uniformes de la CCI relativas a las garantías contra primera solicitud” (Uniform Rules for Demand Guarantees). Revisión del 2010. Publicación de la CCI No. 758, con excepción de la declaración bajo el Artículo 15 (a) que se excluye por el presente documento*.</w:t>
      </w: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____________________ </w:t>
      </w:r>
      <w:r>
        <w:rPr>
          <w:rFonts w:asciiTheme="minorHAnsi" w:hAnsiTheme="minorHAnsi" w:cstheme="minorHAnsi"/>
          <w:sz w:val="20"/>
          <w:szCs w:val="20"/>
          <w:lang w:val="es-EC"/>
        </w:rPr>
        <w:br w:type="textWrapping"/>
      </w:r>
      <w:r>
        <w:rPr>
          <w:rFonts w:asciiTheme="minorHAnsi" w:hAnsiTheme="minorHAnsi" w:cstheme="minorHAnsi"/>
          <w:i/>
          <w:sz w:val="20"/>
          <w:szCs w:val="20"/>
          <w:lang w:val="es-EC"/>
        </w:rPr>
        <w:t>[firmas(s)]</w:t>
      </w:r>
    </w:p>
    <w:p>
      <w:pPr>
        <w:pStyle w:val="36"/>
        <w:spacing w:before="60" w:after="60" w:line="240" w:lineRule="auto"/>
        <w:jc w:val="both"/>
        <w:rPr>
          <w:rFonts w:asciiTheme="minorHAnsi" w:hAnsiTheme="minorHAnsi" w:cstheme="minorHAnsi"/>
          <w:i/>
          <w:sz w:val="20"/>
          <w:szCs w:val="20"/>
          <w:lang w:val="es-EC"/>
        </w:rPr>
      </w:pPr>
      <w:r>
        <w:rPr>
          <w:rFonts w:asciiTheme="minorHAnsi" w:hAnsiTheme="minorHAnsi" w:cstheme="minorHAnsi"/>
          <w:sz w:val="20"/>
          <w:szCs w:val="20"/>
          <w:lang w:val="es-EC"/>
        </w:rPr>
        <w:br w:type="textWrapping"/>
      </w:r>
      <w:r>
        <w:rPr>
          <w:rFonts w:asciiTheme="minorHAnsi" w:hAnsiTheme="minorHAnsi" w:cstheme="minorHAnsi"/>
          <w:i/>
          <w:sz w:val="20"/>
          <w:szCs w:val="20"/>
          <w:lang w:val="es-EC"/>
        </w:rPr>
        <w:t xml:space="preserve">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ind w:left="1440" w:hanging="720"/>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rPr>
          <w:rFonts w:asciiTheme="minorHAnsi" w:hAnsiTheme="minorHAnsi" w:cstheme="minorHAnsi"/>
          <w:b/>
          <w:bCs/>
          <w:i/>
          <w:i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bookmarkStart w:id="325" w:name="_Toc478103479"/>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 xml:space="preserve">Garantía de Mantenimiento de Oferta </w:t>
      </w:r>
      <w:r>
        <w:rPr>
          <w:rFonts w:eastAsia="Times New Roman" w:asciiTheme="minorHAnsi" w:hAnsiTheme="minorHAnsi" w:cstheme="minorHAnsi"/>
          <w:b/>
          <w:bCs/>
          <w:color w:val="2E74B5"/>
          <w:sz w:val="20"/>
          <w:szCs w:val="20"/>
          <w:lang w:val="es-EC"/>
        </w:rPr>
        <w:t>(No aplica)</w:t>
      </w:r>
      <w:bookmarkEnd w:id="325"/>
    </w:p>
    <w:p>
      <w:pPr>
        <w:jc w:val="center"/>
        <w:rPr>
          <w:rFonts w:asciiTheme="minorHAnsi" w:hAnsiTheme="minorHAnsi" w:cstheme="minorHAnsi"/>
          <w:sz w:val="20"/>
          <w:szCs w:val="20"/>
          <w:lang w:val="es-EC"/>
        </w:rPr>
      </w:pPr>
      <w:r>
        <w:rPr>
          <w:rFonts w:asciiTheme="minorHAnsi" w:hAnsiTheme="minorHAnsi" w:cstheme="minorHAnsi"/>
          <w:sz w:val="20"/>
          <w:szCs w:val="20"/>
          <w:lang w:val="es-EC"/>
        </w:rPr>
        <w:t>(Fianza)</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i/>
          <w:iCs/>
          <w:color w:val="auto"/>
          <w:sz w:val="20"/>
          <w:szCs w:val="20"/>
          <w:lang w:val="es-EC"/>
        </w:rPr>
        <w:t xml:space="preserve">[Esta fianza será ejecutada en este Formulario de Fianza de la Oferta de acuerdo con las instrucciones indicadas.] </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 xml:space="preserve">FIANZA NO. ______________________ </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POR ESTA FIANZA</w:t>
      </w:r>
      <w:r>
        <w:rPr>
          <w:rFonts w:asciiTheme="minorHAnsi" w:hAnsiTheme="minorHAnsi" w:cstheme="minorHAnsi"/>
          <w:i/>
          <w:iCs/>
          <w:color w:val="auto"/>
          <w:sz w:val="20"/>
          <w:szCs w:val="20"/>
          <w:lang w:val="es-EC"/>
        </w:rPr>
        <w:t>[nombre del Oferente]obrando en calidad de Mandante (en adelante “el Mandante”)</w:t>
      </w:r>
      <w:r>
        <w:rPr>
          <w:rFonts w:asciiTheme="minorHAnsi" w:hAnsiTheme="minorHAnsi" w:cstheme="minorHAnsi"/>
          <w:color w:val="auto"/>
          <w:sz w:val="20"/>
          <w:szCs w:val="20"/>
          <w:lang w:val="es-EC"/>
        </w:rPr>
        <w:t xml:space="preserve">, y </w:t>
      </w:r>
      <w:r>
        <w:rPr>
          <w:rFonts w:asciiTheme="minorHAnsi" w:hAnsiTheme="minorHAnsi" w:cstheme="minorHAnsi"/>
          <w:i/>
          <w:iCs/>
          <w:color w:val="auto"/>
          <w:sz w:val="20"/>
          <w:szCs w:val="20"/>
          <w:lang w:val="es-EC"/>
        </w:rPr>
        <w:t xml:space="preserve">[nombre, denominación legal y dirección de la afianzadora], </w:t>
      </w:r>
      <w:r>
        <w:rPr>
          <w:rFonts w:asciiTheme="minorHAnsi" w:hAnsiTheme="minorHAnsi" w:cstheme="minorHAnsi"/>
          <w:b/>
          <w:bCs/>
          <w:color w:val="auto"/>
          <w:sz w:val="20"/>
          <w:szCs w:val="20"/>
          <w:lang w:val="es-EC"/>
        </w:rPr>
        <w:t xml:space="preserve">autorizada para conducir negocios en </w:t>
      </w:r>
      <w:r>
        <w:rPr>
          <w:rFonts w:asciiTheme="minorHAnsi" w:hAnsiTheme="minorHAnsi" w:cstheme="minorHAnsi"/>
          <w:i/>
          <w:iCs/>
          <w:color w:val="auto"/>
          <w:sz w:val="20"/>
          <w:szCs w:val="20"/>
          <w:lang w:val="es-EC"/>
        </w:rPr>
        <w:t xml:space="preserve">[nombre del país del Comprador], y quien obra como Garante </w:t>
      </w:r>
      <w:r>
        <w:rPr>
          <w:rFonts w:asciiTheme="minorHAnsi" w:hAnsiTheme="minorHAnsi" w:cstheme="minorHAnsi"/>
          <w:color w:val="auto"/>
          <w:sz w:val="20"/>
          <w:szCs w:val="20"/>
          <w:lang w:val="es-EC"/>
        </w:rPr>
        <w:t xml:space="preserve">(en adelante “el Garante”), por este instrumento se obligan y firmemente se comprometen con </w:t>
      </w:r>
      <w:r>
        <w:rPr>
          <w:rFonts w:asciiTheme="minorHAnsi" w:hAnsiTheme="minorHAnsi" w:cstheme="minorHAnsi"/>
          <w:i/>
          <w:iCs/>
          <w:color w:val="auto"/>
          <w:sz w:val="20"/>
          <w:szCs w:val="20"/>
          <w:lang w:val="es-EC"/>
        </w:rPr>
        <w:t>[nombre del Comprador]</w:t>
      </w:r>
      <w:r>
        <w:rPr>
          <w:rFonts w:asciiTheme="minorHAnsi" w:hAnsiTheme="minorHAnsi" w:cstheme="minorHAnsi"/>
          <w:iCs/>
          <w:color w:val="auto"/>
          <w:sz w:val="20"/>
          <w:szCs w:val="20"/>
          <w:lang w:val="es-EC"/>
        </w:rPr>
        <w:t xml:space="preserve">como </w:t>
      </w:r>
      <w:r>
        <w:rPr>
          <w:rFonts w:asciiTheme="minorHAnsi" w:hAnsiTheme="minorHAnsi" w:cstheme="minorHAnsi"/>
          <w:color w:val="auto"/>
          <w:sz w:val="20"/>
          <w:szCs w:val="20"/>
          <w:lang w:val="es-EC"/>
        </w:rPr>
        <w:t xml:space="preserve">Demandante (en adelante “el Comprador”) por el monto de </w:t>
      </w:r>
      <w:r>
        <w:rPr>
          <w:rFonts w:asciiTheme="minorHAnsi" w:hAnsiTheme="minorHAnsi" w:cstheme="minorHAnsi"/>
          <w:i/>
          <w:iCs/>
          <w:color w:val="auto"/>
          <w:sz w:val="20"/>
          <w:szCs w:val="20"/>
          <w:lang w:val="es-EC"/>
        </w:rPr>
        <w:t>[monto de la fianza]</w:t>
      </w:r>
      <w:r>
        <w:rPr>
          <w:rStyle w:val="43"/>
          <w:rFonts w:asciiTheme="minorHAnsi" w:hAnsiTheme="minorHAnsi" w:cstheme="minorHAnsi"/>
          <w:i/>
          <w:iCs/>
          <w:color w:val="auto"/>
          <w:sz w:val="20"/>
          <w:szCs w:val="20"/>
          <w:lang w:val="es-EC"/>
        </w:rPr>
        <w:footnoteReference w:id="3"/>
      </w:r>
      <w:r>
        <w:rPr>
          <w:rFonts w:asciiTheme="minorHAnsi" w:hAnsiTheme="minorHAnsi" w:cstheme="minorHAnsi"/>
          <w:i/>
          <w:iCs/>
          <w:color w:val="auto"/>
          <w:sz w:val="20"/>
          <w:szCs w:val="20"/>
          <w:lang w:val="es-EC"/>
        </w:rPr>
        <w:t>[monto en palabras]</w:t>
      </w:r>
      <w:r>
        <w:rPr>
          <w:rFonts w:asciiTheme="minorHAnsi" w:hAnsiTheme="minorHAnsi" w:cstheme="minorHAnsi"/>
          <w:color w:val="auto"/>
          <w:sz w:val="20"/>
          <w:szCs w:val="20"/>
          <w:lang w:val="es-EC"/>
        </w:rPr>
        <w:t>, a cuyo pago en legal forma, en los tipos y proporciones de monedas en que deba pagarse el precio de la Garantía, nosotros el Mandante y el Garante antes mencionados por este instrumento, nos comprometemos y obligamos colectiva y solidariamente a estos términos a nuestros herederos, albaceas, administradores, sucesores y cesionarios.</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 xml:space="preserve">CONSIDERANDO que el Mandante ha presentado al Comprador una oferta escrita con fecha </w:t>
      </w:r>
      <w:r>
        <w:rPr>
          <w:rFonts w:asciiTheme="minorHAnsi" w:hAnsiTheme="minorHAnsi" w:cstheme="minorHAnsi"/>
          <w:i/>
          <w:color w:val="auto"/>
          <w:sz w:val="20"/>
          <w:szCs w:val="20"/>
          <w:lang w:val="es-EC"/>
        </w:rPr>
        <w:t>[incluir fecha]</w:t>
      </w:r>
      <w:r>
        <w:rPr>
          <w:rFonts w:asciiTheme="minorHAnsi" w:hAnsiTheme="minorHAnsi" w:cstheme="minorHAnsi"/>
          <w:color w:val="auto"/>
          <w:sz w:val="20"/>
          <w:szCs w:val="20"/>
          <w:lang w:val="es-EC"/>
        </w:rPr>
        <w:t xml:space="preserve"> para la provisión de </w:t>
      </w:r>
      <w:r>
        <w:rPr>
          <w:rFonts w:asciiTheme="minorHAnsi" w:hAnsiTheme="minorHAnsi" w:cstheme="minorHAnsi"/>
          <w:i/>
          <w:color w:val="auto"/>
          <w:sz w:val="20"/>
          <w:szCs w:val="20"/>
          <w:lang w:val="es-EC"/>
        </w:rPr>
        <w:t>[indicar el nombre y/o la descripción de los Bienes]</w:t>
      </w:r>
      <w:r>
        <w:rPr>
          <w:rFonts w:asciiTheme="minorHAnsi" w:hAnsiTheme="minorHAnsi" w:cstheme="minorHAnsi"/>
          <w:color w:val="auto"/>
          <w:sz w:val="20"/>
          <w:szCs w:val="20"/>
          <w:lang w:val="es-EC"/>
        </w:rPr>
        <w:t xml:space="preserve">(en adelante “la Oferta”). </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POR LO TANTO, LA CONDICIÓN DE ESTA OBLIGACIÓN es tal que si el Mandante:</w:t>
      </w:r>
    </w:p>
    <w:p>
      <w:pPr>
        <w:numPr>
          <w:ilvl w:val="0"/>
          <w:numId w:val="95"/>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Retira su Oferta durante el periodo de validez de la Oferta estipulado por el Oferente en el Formulario de Oferta; o </w:t>
      </w:r>
    </w:p>
    <w:p>
      <w:pPr>
        <w:numPr>
          <w:ilvl w:val="0"/>
          <w:numId w:val="95"/>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después de haber sido notificado de la aceptación de su oferta por el Comprador durante el periodo de validez de la misma: (i) no ejecuta o rehúsa ejecutar el Formulario de Contrato; o (ii) no presenta o rehúsa presentar la Garantía de Cumplimiento de Contrato de conformidad con lo establecido en las IAO. </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el Garante procederá inmediatamente a pagar al Comprador la máxima suma indicada anteriormente al recibo de la primera solicitud por escrito del Comprador, sin que el Comprador tenga que sustentar su demanda, siempre y cuando el Comprador establezca en su demanda que ésta es motivada por los acontecimiento de cualquiera de los eventos descritos anteriormente, especificando cuál(es) evento(s) ocurrió / ocurrieron.</w:t>
      </w:r>
    </w:p>
    <w:p>
      <w:pPr>
        <w:autoSpaceDE w:val="0"/>
        <w:autoSpaceDN w:val="0"/>
        <w:adjustRightInd w:val="0"/>
        <w:spacing w:line="240" w:lineRule="atLeast"/>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 </w:t>
      </w:r>
    </w:p>
    <w:p>
      <w:pPr>
        <w:autoSpaceDE w:val="0"/>
        <w:autoSpaceDN w:val="0"/>
        <w:adjustRightInd w:val="0"/>
        <w:spacing w:line="240" w:lineRule="atLeast"/>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EN FE DE LO CUAL, el Mandante y el Garante han dispuesto que se ejecuten estos documentos con sus respectivos nombres este </w:t>
      </w:r>
      <w:r>
        <w:rPr>
          <w:rFonts w:asciiTheme="minorHAnsi" w:hAnsiTheme="minorHAnsi" w:cstheme="minorHAnsi"/>
          <w:i/>
          <w:sz w:val="20"/>
          <w:szCs w:val="20"/>
          <w:lang w:val="es-EC"/>
        </w:rPr>
        <w:t>[Indique la fecha]</w:t>
      </w:r>
      <w:r>
        <w:rPr>
          <w:rFonts w:asciiTheme="minorHAnsi" w:hAnsiTheme="minorHAnsi" w:cstheme="minorHAnsi"/>
          <w:sz w:val="20"/>
          <w:szCs w:val="20"/>
          <w:lang w:val="es-EC"/>
        </w:rPr>
        <w:t>.</w:t>
      </w:r>
    </w:p>
    <w:tbl>
      <w:tblPr>
        <w:tblStyle w:val="46"/>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540"/>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8" w:type="dxa"/>
            <w:tcBorders>
              <w:top w:val="nil"/>
              <w:left w:val="nil"/>
              <w:bottom w:val="single" w:color="auto" w:sz="4" w:space="0"/>
              <w:right w:val="nil"/>
            </w:tcBorders>
          </w:tcPr>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Garante:</w:t>
            </w:r>
          </w:p>
        </w:tc>
        <w:tc>
          <w:tcPr>
            <w:tcW w:w="540" w:type="dxa"/>
            <w:tcBorders>
              <w:top w:val="nil"/>
              <w:left w:val="nil"/>
              <w:bottom w:val="nil"/>
              <w:right w:val="nil"/>
            </w:tcBorders>
          </w:tcPr>
          <w:p>
            <w:pPr>
              <w:pStyle w:val="84"/>
              <w:spacing w:before="60" w:after="60"/>
              <w:jc w:val="both"/>
              <w:rPr>
                <w:rFonts w:asciiTheme="minorHAnsi" w:hAnsiTheme="minorHAnsi" w:cstheme="minorHAnsi"/>
                <w:color w:val="auto"/>
                <w:sz w:val="20"/>
                <w:szCs w:val="20"/>
                <w:lang w:val="es-EC"/>
              </w:rPr>
            </w:pPr>
          </w:p>
        </w:tc>
        <w:tc>
          <w:tcPr>
            <w:tcW w:w="4788" w:type="dxa"/>
            <w:tcBorders>
              <w:top w:val="nil"/>
              <w:left w:val="nil"/>
              <w:bottom w:val="single" w:color="auto" w:sz="4" w:space="0"/>
              <w:right w:val="nil"/>
            </w:tcBorders>
          </w:tcPr>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Mandante: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8" w:type="dxa"/>
            <w:tcBorders>
              <w:top w:val="nil"/>
              <w:left w:val="nil"/>
              <w:bottom w:val="single" w:color="auto" w:sz="4" w:space="0"/>
              <w:right w:val="nil"/>
            </w:tcBorders>
          </w:tcPr>
          <w:p>
            <w:pPr>
              <w:pStyle w:val="84"/>
              <w:spacing w:before="60" w:after="60"/>
              <w:jc w:val="both"/>
              <w:rPr>
                <w:rFonts w:asciiTheme="minorHAnsi" w:hAnsiTheme="minorHAnsi" w:cstheme="minorHAnsi"/>
                <w:color w:val="auto"/>
                <w:sz w:val="20"/>
                <w:szCs w:val="20"/>
                <w:lang w:val="es-EC"/>
              </w:rPr>
            </w:pPr>
          </w:p>
        </w:tc>
        <w:tc>
          <w:tcPr>
            <w:tcW w:w="540" w:type="dxa"/>
            <w:tcBorders>
              <w:top w:val="nil"/>
              <w:left w:val="nil"/>
              <w:bottom w:val="nil"/>
              <w:right w:val="nil"/>
            </w:tcBorders>
          </w:tcPr>
          <w:p>
            <w:pPr>
              <w:pStyle w:val="84"/>
              <w:spacing w:before="60" w:after="60"/>
              <w:jc w:val="both"/>
              <w:rPr>
                <w:rFonts w:asciiTheme="minorHAnsi" w:hAnsiTheme="minorHAnsi" w:cstheme="minorHAnsi"/>
                <w:color w:val="auto"/>
                <w:sz w:val="20"/>
                <w:szCs w:val="20"/>
                <w:lang w:val="es-EC"/>
              </w:rPr>
            </w:pPr>
          </w:p>
        </w:tc>
        <w:tc>
          <w:tcPr>
            <w:tcW w:w="4788" w:type="dxa"/>
            <w:tcBorders>
              <w:top w:val="nil"/>
              <w:left w:val="nil"/>
              <w:bottom w:val="single" w:color="auto" w:sz="4" w:space="0"/>
              <w:right w:val="nil"/>
            </w:tcBorders>
          </w:tcPr>
          <w:p>
            <w:pPr>
              <w:pStyle w:val="84"/>
              <w:spacing w:before="60" w:after="60"/>
              <w:jc w:val="both"/>
              <w:rPr>
                <w:rFonts w:asciiTheme="minorHAnsi" w:hAnsiTheme="minorHAnsi" w:cstheme="minorHAnsi"/>
                <w:color w:val="auto"/>
                <w:sz w:val="20"/>
                <w:szCs w:val="20"/>
                <w:lang w:val="es-EC"/>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8" w:type="dxa"/>
            <w:tcBorders>
              <w:top w:val="single" w:color="auto" w:sz="4" w:space="0"/>
              <w:left w:val="nil"/>
              <w:bottom w:val="nil"/>
              <w:right w:val="nil"/>
            </w:tcBorders>
          </w:tcPr>
          <w:p>
            <w:pPr>
              <w:pStyle w:val="84"/>
              <w:spacing w:before="60" w:after="60"/>
              <w:jc w:val="both"/>
              <w:rPr>
                <w:rFonts w:asciiTheme="minorHAnsi" w:hAnsiTheme="minorHAnsi" w:cstheme="minorHAnsi"/>
                <w:i/>
                <w:color w:val="auto"/>
                <w:sz w:val="20"/>
                <w:szCs w:val="20"/>
                <w:lang w:val="es-EC"/>
              </w:rPr>
            </w:pPr>
            <w:r>
              <w:rPr>
                <w:rFonts w:asciiTheme="minorHAnsi" w:hAnsiTheme="minorHAnsi" w:cstheme="minorHAnsi"/>
                <w:i/>
                <w:color w:val="auto"/>
                <w:sz w:val="20"/>
                <w:szCs w:val="20"/>
                <w:lang w:val="es-EC"/>
              </w:rPr>
              <w:t>[Firma]</w:t>
            </w:r>
          </w:p>
          <w:p>
            <w:pPr>
              <w:pStyle w:val="84"/>
              <w:spacing w:before="60" w:after="60"/>
              <w:jc w:val="both"/>
              <w:rPr>
                <w:rFonts w:asciiTheme="minorHAnsi" w:hAnsiTheme="minorHAnsi" w:cstheme="minorHAnsi"/>
                <w:i/>
                <w:color w:val="auto"/>
                <w:sz w:val="20"/>
                <w:szCs w:val="20"/>
                <w:lang w:val="es-EC"/>
              </w:rPr>
            </w:pPr>
            <w:r>
              <w:rPr>
                <w:rFonts w:asciiTheme="minorHAnsi" w:hAnsiTheme="minorHAnsi" w:cstheme="minorHAnsi"/>
                <w:i/>
                <w:color w:val="auto"/>
                <w:sz w:val="20"/>
                <w:szCs w:val="20"/>
                <w:lang w:val="es-EC"/>
              </w:rPr>
              <w:t>[Nombre y Cargo]</w:t>
            </w:r>
          </w:p>
        </w:tc>
        <w:tc>
          <w:tcPr>
            <w:tcW w:w="540" w:type="dxa"/>
            <w:tcBorders>
              <w:top w:val="nil"/>
              <w:left w:val="nil"/>
              <w:bottom w:val="nil"/>
              <w:right w:val="nil"/>
            </w:tcBorders>
          </w:tcPr>
          <w:p>
            <w:pPr>
              <w:pStyle w:val="84"/>
              <w:spacing w:before="60" w:after="60"/>
              <w:jc w:val="both"/>
              <w:rPr>
                <w:rFonts w:asciiTheme="minorHAnsi" w:hAnsiTheme="minorHAnsi" w:cstheme="minorHAnsi"/>
                <w:color w:val="auto"/>
                <w:sz w:val="20"/>
                <w:szCs w:val="20"/>
                <w:lang w:val="es-EC"/>
              </w:rPr>
            </w:pPr>
          </w:p>
        </w:tc>
        <w:tc>
          <w:tcPr>
            <w:tcW w:w="4788" w:type="dxa"/>
            <w:tcBorders>
              <w:top w:val="single" w:color="auto" w:sz="4" w:space="0"/>
              <w:left w:val="nil"/>
              <w:bottom w:val="nil"/>
              <w:right w:val="nil"/>
            </w:tcBorders>
          </w:tcPr>
          <w:p>
            <w:pPr>
              <w:pStyle w:val="84"/>
              <w:spacing w:before="60" w:after="60"/>
              <w:jc w:val="both"/>
              <w:rPr>
                <w:rFonts w:asciiTheme="minorHAnsi" w:hAnsiTheme="minorHAnsi" w:cstheme="minorHAnsi"/>
                <w:i/>
                <w:color w:val="auto"/>
                <w:sz w:val="20"/>
                <w:szCs w:val="20"/>
                <w:lang w:val="es-EC"/>
              </w:rPr>
            </w:pPr>
            <w:r>
              <w:rPr>
                <w:rFonts w:asciiTheme="minorHAnsi" w:hAnsiTheme="minorHAnsi" w:cstheme="minorHAnsi"/>
                <w:i/>
                <w:color w:val="auto"/>
                <w:sz w:val="20"/>
                <w:szCs w:val="20"/>
                <w:lang w:val="es-EC"/>
              </w:rPr>
              <w:t>[Firma]</w:t>
            </w:r>
          </w:p>
          <w:p>
            <w:pPr>
              <w:pStyle w:val="84"/>
              <w:spacing w:before="60" w:after="60"/>
              <w:jc w:val="both"/>
              <w:rPr>
                <w:rFonts w:asciiTheme="minorHAnsi" w:hAnsiTheme="minorHAnsi" w:cstheme="minorHAnsi"/>
                <w:color w:val="auto"/>
                <w:sz w:val="20"/>
                <w:szCs w:val="20"/>
                <w:lang w:val="es-EC"/>
              </w:rPr>
            </w:pPr>
            <w:r>
              <w:rPr>
                <w:rFonts w:asciiTheme="minorHAnsi" w:hAnsiTheme="minorHAnsi" w:cstheme="minorHAnsi"/>
                <w:i/>
                <w:color w:val="auto"/>
                <w:sz w:val="20"/>
                <w:szCs w:val="20"/>
                <w:lang w:val="es-EC"/>
              </w:rPr>
              <w:t>[Nombre y Cargo]</w:t>
            </w:r>
          </w:p>
        </w:tc>
      </w:tr>
    </w:tbl>
    <w:p>
      <w:pPr>
        <w:keepNext/>
        <w:keepLines/>
        <w:spacing w:before="240" w:after="0" w:line="240" w:lineRule="auto"/>
        <w:jc w:val="center"/>
        <w:outlineLvl w:val="1"/>
        <w:rPr>
          <w:rFonts w:eastAsia="Times New Roman" w:asciiTheme="minorHAnsi" w:hAnsiTheme="minorHAnsi" w:cstheme="minorHAnsi"/>
          <w:b/>
          <w:bCs/>
          <w:sz w:val="20"/>
          <w:szCs w:val="20"/>
          <w:lang w:val="es-EC"/>
        </w:rPr>
      </w:pPr>
      <w:bookmarkStart w:id="326" w:name="_Toc106181175"/>
      <w:bookmarkStart w:id="327" w:name="_Toc317173260"/>
      <w:bookmarkStart w:id="328" w:name="_Toc478103480"/>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Declaración de Mantenimiento de la Oferta</w:t>
      </w:r>
      <w:bookmarkEnd w:id="326"/>
      <w:bookmarkEnd w:id="327"/>
      <w:bookmarkEnd w:id="328"/>
    </w:p>
    <w:p>
      <w:pPr>
        <w:spacing w:after="0" w:line="240" w:lineRule="auto"/>
        <w:jc w:val="center"/>
        <w:rPr>
          <w:rFonts w:eastAsia="Times New Roman" w:asciiTheme="minorHAnsi" w:hAnsiTheme="minorHAnsi" w:cstheme="minorHAnsi"/>
          <w:b/>
          <w:sz w:val="20"/>
          <w:szCs w:val="20"/>
          <w:lang w:val="es-EC"/>
        </w:rPr>
      </w:pPr>
    </w:p>
    <w:p>
      <w:pPr>
        <w:spacing w:before="60" w:after="60" w:line="240" w:lineRule="auto"/>
        <w:rPr>
          <w:rFonts w:eastAsia="Times New Roman" w:asciiTheme="minorHAnsi" w:hAnsiTheme="minorHAnsi" w:cstheme="minorHAnsi"/>
          <w:iCs/>
          <w:sz w:val="20"/>
          <w:szCs w:val="20"/>
          <w:lang w:val="es-EC"/>
        </w:rPr>
      </w:pPr>
      <w:r>
        <w:rPr>
          <w:rFonts w:eastAsia="Times New Roman" w:asciiTheme="minorHAnsi" w:hAnsiTheme="minorHAnsi" w:cstheme="minorHAnsi"/>
          <w:iCs/>
          <w:sz w:val="20"/>
          <w:szCs w:val="20"/>
          <w:lang w:val="es-EC"/>
        </w:rPr>
        <w:t>[El Oferente completará este Formulario de Declaración de Mantenimiento de la Oferta de acuerdo con las instrucciones indicadas.]</w:t>
      </w:r>
    </w:p>
    <w:p>
      <w:pPr>
        <w:tabs>
          <w:tab w:val="left" w:pos="4968"/>
          <w:tab w:val="left" w:pos="9558"/>
        </w:tabs>
        <w:spacing w:before="60" w:after="60" w:line="240" w:lineRule="auto"/>
        <w:rPr>
          <w:rFonts w:eastAsia="Times New Roman" w:asciiTheme="minorHAnsi" w:hAnsiTheme="minorHAnsi" w:cstheme="minorHAnsi"/>
          <w:sz w:val="20"/>
          <w:szCs w:val="20"/>
          <w:lang w:val="es-EC"/>
        </w:rPr>
      </w:pPr>
    </w:p>
    <w:p>
      <w:pPr>
        <w:tabs>
          <w:tab w:val="right" w:pos="9360"/>
        </w:tabs>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Fecha: </w:t>
      </w:r>
      <w:r>
        <w:rPr>
          <w:rFonts w:eastAsia="Times New Roman" w:asciiTheme="minorHAnsi" w:hAnsiTheme="minorHAnsi" w:cstheme="minorHAnsi"/>
          <w:i/>
          <w:sz w:val="20"/>
          <w:szCs w:val="20"/>
          <w:lang w:val="es-EC"/>
        </w:rPr>
        <w:t>[indicar la fecha (día, mes y año)]</w:t>
      </w:r>
    </w:p>
    <w:p>
      <w:pPr>
        <w:tabs>
          <w:tab w:val="right" w:pos="9360"/>
        </w:tabs>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LPI No.: </w:t>
      </w:r>
      <w:r>
        <w:rPr>
          <w:rFonts w:eastAsia="Times New Roman" w:asciiTheme="minorHAnsi" w:hAnsiTheme="minorHAnsi" w:cstheme="minorHAnsi"/>
          <w:i/>
          <w:sz w:val="20"/>
          <w:szCs w:val="20"/>
          <w:lang w:val="es-EC"/>
        </w:rPr>
        <w:t>[indicar número de proceso licitatorio]</w:t>
      </w:r>
    </w:p>
    <w:p>
      <w:pPr>
        <w:tabs>
          <w:tab w:val="right" w:pos="9360"/>
        </w:tabs>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Alternativa No.: </w:t>
      </w:r>
      <w:r>
        <w:rPr>
          <w:rFonts w:eastAsia="Times New Roman" w:asciiTheme="minorHAnsi" w:hAnsiTheme="minorHAnsi" w:cstheme="minorHAnsi"/>
          <w:i/>
          <w:sz w:val="20"/>
          <w:szCs w:val="20"/>
          <w:lang w:val="es-EC"/>
        </w:rPr>
        <w:t>[indicar el número de identificación si es una oferta alternativa]</w:t>
      </w:r>
    </w:p>
    <w:p>
      <w:pPr>
        <w:spacing w:before="60" w:after="60" w:line="240" w:lineRule="auto"/>
        <w:rPr>
          <w:rFonts w:eastAsia="Times New Roman" w:asciiTheme="minorHAnsi" w:hAnsiTheme="minorHAnsi" w:cstheme="minorHAnsi"/>
          <w:sz w:val="20"/>
          <w:szCs w:val="20"/>
          <w:lang w:val="es-EC"/>
        </w:rPr>
      </w:pPr>
    </w:p>
    <w:p>
      <w:pPr>
        <w:spacing w:before="60" w:after="60" w:line="240" w:lineRule="auto"/>
        <w:rPr>
          <w:rFonts w:eastAsia="Times New Roman" w:asciiTheme="minorHAnsi" w:hAnsiTheme="minorHAnsi" w:cstheme="minorHAnsi"/>
          <w:i/>
          <w:sz w:val="20"/>
          <w:szCs w:val="20"/>
          <w:lang w:val="es-EC"/>
        </w:rPr>
      </w:pPr>
      <w:r>
        <w:rPr>
          <w:rFonts w:eastAsia="Times New Roman" w:asciiTheme="minorHAnsi" w:hAnsiTheme="minorHAnsi" w:cstheme="minorHAnsi"/>
          <w:sz w:val="20"/>
          <w:szCs w:val="20"/>
          <w:lang w:val="es-EC"/>
        </w:rPr>
        <w:t xml:space="preserve">A: </w:t>
      </w:r>
      <w:r>
        <w:rPr>
          <w:rFonts w:eastAsia="Times New Roman" w:asciiTheme="minorHAnsi" w:hAnsiTheme="minorHAnsi" w:cstheme="minorHAnsi"/>
          <w:i/>
          <w:sz w:val="20"/>
          <w:szCs w:val="20"/>
          <w:lang w:val="es-EC"/>
        </w:rPr>
        <w:t>[indicar nombre complete del Comprador]</w:t>
      </w:r>
    </w:p>
    <w:p>
      <w:pPr>
        <w:spacing w:before="60" w:after="60" w:line="240" w:lineRule="auto"/>
        <w:rPr>
          <w:rFonts w:eastAsia="Times New Roman" w:asciiTheme="minorHAnsi" w:hAnsiTheme="minorHAnsi" w:cstheme="minorHAnsi"/>
          <w:b/>
          <w:sz w:val="20"/>
          <w:szCs w:val="20"/>
          <w:lang w:val="es-EC"/>
        </w:rPr>
      </w:pPr>
    </w:p>
    <w:p>
      <w:pPr>
        <w:jc w:val="both"/>
        <w:rPr>
          <w:rFonts w:asciiTheme="minorHAnsi" w:hAnsiTheme="minorHAnsi" w:cstheme="minorHAnsi"/>
          <w:sz w:val="20"/>
          <w:szCs w:val="20"/>
          <w:lang w:val="es-EC"/>
        </w:rPr>
      </w:pPr>
      <w:r>
        <w:rPr>
          <w:rFonts w:asciiTheme="minorHAnsi" w:hAnsiTheme="minorHAnsi" w:cstheme="minorHAnsi"/>
          <w:sz w:val="20"/>
          <w:szCs w:val="20"/>
          <w:lang w:val="es-EC"/>
        </w:rPr>
        <w:t>Nosotros, los suscritos, declaramos que:</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Entendemos que, de acuerdo con sus condiciones, las ofertas deberán estar respaldadas por una Declaración de Mantenimiento de la Oferta.</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Aceptamos que automáticamente seremos declarados inelegibles para participar en cualquier licitación de contrato con el Comprador por un período de </w:t>
      </w:r>
      <w:r>
        <w:rPr>
          <w:rFonts w:asciiTheme="minorHAnsi" w:hAnsiTheme="minorHAnsi" w:cstheme="minorHAnsi"/>
          <w:b/>
          <w:i/>
          <w:sz w:val="20"/>
          <w:szCs w:val="20"/>
          <w:lang w:val="es-EC"/>
        </w:rPr>
        <w:t xml:space="preserve">3 años </w:t>
      </w:r>
      <w:r>
        <w:rPr>
          <w:rFonts w:asciiTheme="minorHAnsi" w:hAnsiTheme="minorHAnsi" w:cstheme="minorHAnsi"/>
          <w:sz w:val="20"/>
          <w:szCs w:val="20"/>
          <w:lang w:val="es-EC"/>
        </w:rPr>
        <w:t>contado a partir de las condiciones abajo detalladas</w:t>
      </w:r>
      <w:r>
        <w:rPr>
          <w:rFonts w:asciiTheme="minorHAnsi" w:hAnsiTheme="minorHAnsi" w:cstheme="minorHAnsi"/>
          <w:b/>
          <w:i/>
          <w:sz w:val="20"/>
          <w:szCs w:val="20"/>
          <w:lang w:val="es-EC"/>
        </w:rPr>
        <w:t xml:space="preserve">, </w:t>
      </w:r>
      <w:r>
        <w:rPr>
          <w:rFonts w:asciiTheme="minorHAnsi" w:hAnsiTheme="minorHAnsi" w:cstheme="minorHAnsi"/>
          <w:sz w:val="20"/>
          <w:szCs w:val="20"/>
          <w:lang w:val="es-EC"/>
        </w:rPr>
        <w:t>si violamos nuestra(s) obligación(es) bajo las condiciones de la oferta si:</w:t>
      </w:r>
    </w:p>
    <w:p>
      <w:pPr>
        <w:numPr>
          <w:ilvl w:val="0"/>
          <w:numId w:val="96"/>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retiráramos nuestra oferta durante el período de vigencia de la oferta especificado por nosotros en el Formulario de Oferta; o</w:t>
      </w:r>
    </w:p>
    <w:p>
      <w:pPr>
        <w:numPr>
          <w:ilvl w:val="0"/>
          <w:numId w:val="96"/>
        </w:numPr>
        <w:spacing w:before="60" w:after="60" w:line="240" w:lineRule="auto"/>
        <w:ind w:left="360"/>
        <w:jc w:val="both"/>
        <w:rPr>
          <w:rFonts w:eastAsia="Arial Unicode MS" w:asciiTheme="minorHAnsi" w:hAnsiTheme="minorHAnsi" w:cstheme="minorHAnsi"/>
          <w:sz w:val="20"/>
          <w:szCs w:val="20"/>
          <w:lang w:val="es-EC"/>
        </w:rPr>
      </w:pPr>
      <w:r>
        <w:rPr>
          <w:rFonts w:asciiTheme="minorHAnsi" w:hAnsiTheme="minorHAnsi" w:cstheme="minorHAnsi"/>
          <w:sz w:val="20"/>
          <w:szCs w:val="20"/>
          <w:lang w:val="es-EC"/>
        </w:rPr>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 de conformidad con las IAO.</w:t>
      </w:r>
    </w:p>
    <w:p>
      <w:pPr>
        <w:spacing w:before="60" w:after="60" w:line="240" w:lineRule="auto"/>
        <w:jc w:val="both"/>
        <w:rPr>
          <w:rFonts w:eastAsia="Arial Unicode MS" w:asciiTheme="minorHAnsi" w:hAnsiTheme="minorHAnsi" w:cstheme="minorHAnsi"/>
          <w:sz w:val="20"/>
          <w:szCs w:val="20"/>
          <w:lang w:val="es-EC"/>
        </w:rPr>
      </w:pPr>
      <w:r>
        <w:rPr>
          <w:rFonts w:asciiTheme="minorHAnsi" w:hAnsiTheme="minorHAnsi" w:cstheme="minorHAnsi"/>
          <w:sz w:val="20"/>
          <w:szCs w:val="20"/>
          <w:lang w:val="es-EC"/>
        </w:rPr>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pPr>
        <w:tabs>
          <w:tab w:val="left" w:pos="6120"/>
        </w:tabs>
        <w:spacing w:before="60" w:after="60" w:line="240" w:lineRule="auto"/>
        <w:rPr>
          <w:rFonts w:eastAsia="Times New Roman" w:asciiTheme="minorHAnsi" w:hAnsiTheme="minorHAnsi" w:cstheme="minorHAnsi"/>
          <w:sz w:val="20"/>
          <w:szCs w:val="20"/>
          <w:lang w:val="es-EC"/>
        </w:rPr>
      </w:pPr>
    </w:p>
    <w:p>
      <w:pPr>
        <w:tabs>
          <w:tab w:val="left" w:pos="6120"/>
        </w:tabs>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Firmada: </w:t>
      </w:r>
      <w:r>
        <w:rPr>
          <w:rFonts w:eastAsia="Times New Roman" w:asciiTheme="minorHAnsi" w:hAnsiTheme="minorHAnsi" w:cstheme="minorHAnsi"/>
          <w:i/>
          <w:sz w:val="20"/>
          <w:szCs w:val="20"/>
          <w:lang w:val="es-EC"/>
        </w:rPr>
        <w:t>[firma de la persona cuyo nombre y capacidad se indican]</w:t>
      </w:r>
      <w:r>
        <w:rPr>
          <w:rFonts w:eastAsia="Times New Roman" w:asciiTheme="minorHAnsi" w:hAnsiTheme="minorHAnsi" w:cstheme="minorHAnsi"/>
          <w:sz w:val="20"/>
          <w:szCs w:val="20"/>
          <w:lang w:val="es-EC"/>
        </w:rPr>
        <w:t xml:space="preserve"> en capacidad de </w:t>
      </w:r>
      <w:r>
        <w:rPr>
          <w:rFonts w:eastAsia="Times New Roman" w:asciiTheme="minorHAnsi" w:hAnsiTheme="minorHAnsi" w:cstheme="minorHAnsi"/>
          <w:i/>
          <w:sz w:val="20"/>
          <w:szCs w:val="20"/>
          <w:lang w:val="es-EC"/>
        </w:rPr>
        <w:t>[indicar la capacidad jurídica de la persona que firma la Declaración de Mantenimiento de la Oferta]</w:t>
      </w:r>
    </w:p>
    <w:p>
      <w:pPr>
        <w:tabs>
          <w:tab w:val="left" w:pos="6120"/>
        </w:tabs>
        <w:spacing w:before="60" w:after="60" w:line="240" w:lineRule="auto"/>
        <w:rPr>
          <w:rFonts w:eastAsia="Times New Roman" w:asciiTheme="minorHAnsi" w:hAnsiTheme="minorHAnsi" w:cstheme="minorHAnsi"/>
          <w:sz w:val="20"/>
          <w:szCs w:val="20"/>
          <w:lang w:val="es-EC"/>
        </w:rPr>
      </w:pPr>
    </w:p>
    <w:p>
      <w:pPr>
        <w:tabs>
          <w:tab w:val="left" w:pos="6120"/>
        </w:tabs>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Nombre: </w:t>
      </w:r>
      <w:r>
        <w:rPr>
          <w:rFonts w:eastAsia="Times New Roman" w:asciiTheme="minorHAnsi" w:hAnsiTheme="minorHAnsi" w:cstheme="minorHAnsi"/>
          <w:i/>
          <w:sz w:val="20"/>
          <w:szCs w:val="20"/>
          <w:lang w:val="es-EC"/>
        </w:rPr>
        <w:t>[nombre complete de la persona que firma la Declaración de Mantenimiento de la Oferta]</w:t>
      </w:r>
      <w:r>
        <w:rPr>
          <w:rFonts w:eastAsia="Times New Roman" w:asciiTheme="minorHAnsi" w:hAnsiTheme="minorHAnsi" w:cstheme="minorHAnsi"/>
          <w:sz w:val="20"/>
          <w:szCs w:val="20"/>
          <w:lang w:val="es-EC"/>
        </w:rPr>
        <w:tab/>
      </w:r>
    </w:p>
    <w:p>
      <w:pPr>
        <w:tabs>
          <w:tab w:val="left" w:pos="5238"/>
          <w:tab w:val="left" w:pos="5474"/>
          <w:tab w:val="left" w:pos="9468"/>
        </w:tabs>
        <w:spacing w:before="60" w:after="60" w:line="240" w:lineRule="auto"/>
        <w:rPr>
          <w:rFonts w:eastAsia="Times New Roman" w:asciiTheme="minorHAnsi" w:hAnsiTheme="minorHAnsi" w:cstheme="minorHAnsi"/>
          <w:sz w:val="20"/>
          <w:szCs w:val="20"/>
          <w:lang w:val="es-EC"/>
        </w:rPr>
      </w:pPr>
    </w:p>
    <w:p>
      <w:pPr>
        <w:tabs>
          <w:tab w:val="left" w:pos="5238"/>
          <w:tab w:val="left" w:pos="5474"/>
          <w:tab w:val="left" w:pos="9468"/>
        </w:tabs>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Debidamente autorizado para firmar la oferta por y en nombre de: </w:t>
      </w:r>
      <w:r>
        <w:rPr>
          <w:rFonts w:eastAsia="Times New Roman" w:asciiTheme="minorHAnsi" w:hAnsiTheme="minorHAnsi" w:cstheme="minorHAnsi"/>
          <w:i/>
          <w:sz w:val="20"/>
          <w:szCs w:val="20"/>
          <w:lang w:val="es-EC"/>
        </w:rPr>
        <w:t>[nombre completo del Oferente]</w:t>
      </w:r>
    </w:p>
    <w:p>
      <w:pPr>
        <w:spacing w:before="60" w:after="60" w:line="240" w:lineRule="auto"/>
        <w:jc w:val="both"/>
        <w:rPr>
          <w:rFonts w:eastAsia="Times New Roman" w:asciiTheme="minorHAnsi" w:hAnsiTheme="minorHAnsi" w:cstheme="minorHAnsi"/>
          <w:sz w:val="20"/>
          <w:szCs w:val="20"/>
          <w:lang w:val="es-EC"/>
        </w:rPr>
      </w:pPr>
    </w:p>
    <w:p>
      <w:pPr>
        <w:spacing w:before="60" w:after="60" w:line="240" w:lineRule="auto"/>
        <w:jc w:val="both"/>
        <w:rPr>
          <w:rFonts w:eastAsia="Times New Roman" w:asciiTheme="minorHAnsi" w:hAnsiTheme="minorHAnsi" w:cstheme="minorHAnsi"/>
          <w:i/>
          <w:sz w:val="20"/>
          <w:szCs w:val="20"/>
          <w:lang w:val="es-EC"/>
        </w:rPr>
      </w:pPr>
      <w:r>
        <w:rPr>
          <w:rFonts w:eastAsia="Times New Roman" w:asciiTheme="minorHAnsi" w:hAnsiTheme="minorHAnsi" w:cstheme="minorHAnsi"/>
          <w:sz w:val="20"/>
          <w:szCs w:val="20"/>
          <w:lang w:val="es-EC"/>
        </w:rPr>
        <w:t xml:space="preserve">Fechada </w:t>
      </w:r>
      <w:r>
        <w:rPr>
          <w:rFonts w:eastAsia="Times New Roman" w:asciiTheme="minorHAnsi" w:hAnsiTheme="minorHAnsi" w:cstheme="minorHAnsi"/>
          <w:i/>
          <w:sz w:val="20"/>
          <w:szCs w:val="20"/>
          <w:lang w:val="es-EC"/>
        </w:rPr>
        <w:t>[fecha de firma]</w:t>
      </w:r>
    </w:p>
    <w:p>
      <w:pPr>
        <w:spacing w:before="60" w:after="60" w:line="240" w:lineRule="auto"/>
        <w:jc w:val="both"/>
        <w:rPr>
          <w:rFonts w:eastAsia="Arial Unicode MS" w:asciiTheme="minorHAnsi" w:hAnsiTheme="minorHAnsi" w:cstheme="minorHAnsi"/>
          <w:i/>
          <w:iCs/>
          <w:sz w:val="20"/>
          <w:szCs w:val="20"/>
          <w:lang w:val="es-EC"/>
        </w:rPr>
      </w:pPr>
      <w:r>
        <w:rPr>
          <w:rFonts w:eastAsia="Times New Roman" w:asciiTheme="minorHAnsi" w:hAnsiTheme="minorHAnsi" w:cstheme="minorHAnsi"/>
          <w:i/>
          <w:sz w:val="20"/>
          <w:szCs w:val="20"/>
          <w:lang w:val="es-EC"/>
        </w:rPr>
        <w:br w:type="textWrapping"/>
      </w:r>
      <w:r>
        <w:rPr>
          <w:rFonts w:eastAsia="Arial Unicode MS" w:asciiTheme="minorHAnsi" w:hAnsiTheme="minorHAnsi" w:cstheme="minorHAnsi"/>
          <w:i/>
          <w:iCs/>
          <w:sz w:val="20"/>
          <w:szCs w:val="20"/>
          <w:lang w:val="es-EC"/>
        </w:rPr>
        <w:t>[Nota: En el caso de Joint Ventures, la Declaración de Mantenimiento de Oferta, deberá estar a nombre de todos los miembros del Joint Venture que presenta la oferta.]</w:t>
      </w:r>
    </w:p>
    <w:p>
      <w:pPr>
        <w:jc w:val="center"/>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br w:type="page"/>
      </w:r>
      <w:bookmarkStart w:id="329" w:name="_Toc106181176"/>
      <w:bookmarkStart w:id="330" w:name="_Toc317173261"/>
      <w:r>
        <w:rPr>
          <w:rFonts w:eastAsia="Times New Roman" w:asciiTheme="minorHAnsi" w:hAnsiTheme="minorHAnsi" w:cstheme="minorHAnsi"/>
          <w:b/>
          <w:bCs/>
          <w:sz w:val="20"/>
          <w:szCs w:val="20"/>
          <w:lang w:val="es-EC"/>
        </w:rPr>
        <w:t>Autorización del Fabricante</w:t>
      </w:r>
      <w:bookmarkEnd w:id="329"/>
      <w:bookmarkEnd w:id="330"/>
    </w:p>
    <w:p>
      <w:pPr>
        <w:spacing w:before="60" w:after="60" w:line="240" w:lineRule="auto"/>
        <w:jc w:val="both"/>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w:t>
      </w:r>
      <w:r>
        <w:rPr>
          <w:rFonts w:asciiTheme="minorHAnsi" w:hAnsiTheme="minorHAnsi" w:cstheme="minorHAnsi"/>
          <w:i/>
          <w:sz w:val="20"/>
          <w:szCs w:val="20"/>
          <w:lang w:val="es-EC"/>
        </w:rPr>
        <w:t xml:space="preserve">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Pr>
          <w:rFonts w:asciiTheme="minorHAnsi" w:hAnsiTheme="minorHAnsi" w:cstheme="minorHAnsi"/>
          <w:i/>
          <w:iCs/>
          <w:sz w:val="20"/>
          <w:szCs w:val="20"/>
          <w:lang w:val="es-EC"/>
        </w:rPr>
        <w:t>Oferente</w:t>
      </w:r>
      <w:r>
        <w:rPr>
          <w:rFonts w:asciiTheme="minorHAnsi" w:hAnsiTheme="minorHAnsi" w:cstheme="minorHAnsi"/>
          <w:i/>
          <w:sz w:val="20"/>
          <w:szCs w:val="20"/>
          <w:lang w:val="es-EC"/>
        </w:rPr>
        <w:t xml:space="preserve"> lo deberá </w:t>
      </w:r>
      <w:r>
        <w:rPr>
          <w:rFonts w:asciiTheme="minorHAnsi" w:hAnsiTheme="minorHAnsi" w:cstheme="minorHAnsi"/>
          <w:i/>
          <w:iCs/>
          <w:sz w:val="20"/>
          <w:szCs w:val="20"/>
          <w:lang w:val="es-EC"/>
        </w:rPr>
        <w:t>incluirá</w:t>
      </w:r>
      <w:r>
        <w:rPr>
          <w:rFonts w:asciiTheme="minorHAnsi" w:hAnsiTheme="minorHAnsi" w:cstheme="minorHAnsi"/>
          <w:i/>
          <w:sz w:val="20"/>
          <w:szCs w:val="20"/>
          <w:lang w:val="es-EC"/>
        </w:rPr>
        <w:t xml:space="preserve"> en su oferta, si así </w:t>
      </w:r>
      <w:r>
        <w:rPr>
          <w:rFonts w:asciiTheme="minorHAnsi" w:hAnsiTheme="minorHAnsi" w:cstheme="minorHAnsi"/>
          <w:b/>
          <w:i/>
          <w:sz w:val="20"/>
          <w:szCs w:val="20"/>
          <w:lang w:val="es-EC"/>
        </w:rPr>
        <w:t>se establece en los DDL</w:t>
      </w:r>
      <w:r>
        <w:rPr>
          <w:rFonts w:asciiTheme="minorHAnsi" w:hAnsiTheme="minorHAnsi" w:cstheme="minorHAnsi"/>
          <w:i/>
          <w:sz w:val="20"/>
          <w:szCs w:val="20"/>
          <w:lang w:val="es-EC"/>
        </w:rPr>
        <w:t>.</w:t>
      </w:r>
      <w:r>
        <w:rPr>
          <w:rFonts w:eastAsia="Times New Roman" w:asciiTheme="minorHAnsi" w:hAnsiTheme="minorHAnsi" w:cstheme="minorHAnsi"/>
          <w:i/>
          <w:iCs/>
          <w:sz w:val="20"/>
          <w:szCs w:val="20"/>
          <w:lang w:val="es-EC"/>
        </w:rPr>
        <w:t>]</w:t>
      </w:r>
    </w:p>
    <w:p>
      <w:pPr>
        <w:spacing w:before="60" w:after="60" w:line="240" w:lineRule="auto"/>
        <w:jc w:val="both"/>
        <w:rPr>
          <w:rFonts w:eastAsia="Times New Roman" w:asciiTheme="minorHAnsi" w:hAnsiTheme="minorHAnsi" w:cstheme="minorHAnsi"/>
          <w:i/>
          <w:iCs/>
          <w:sz w:val="20"/>
          <w:szCs w:val="20"/>
          <w:lang w:val="es-EC"/>
        </w:rPr>
      </w:pPr>
    </w:p>
    <w:p>
      <w:pPr>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Fecha: </w:t>
      </w:r>
      <w:r>
        <w:rPr>
          <w:rFonts w:eastAsia="Times New Roman" w:asciiTheme="minorHAnsi" w:hAnsiTheme="minorHAnsi" w:cstheme="minorHAnsi"/>
          <w:i/>
          <w:sz w:val="20"/>
          <w:szCs w:val="20"/>
          <w:lang w:val="es-EC"/>
        </w:rPr>
        <w:t>[indicar la fecha (día, mes y año) de la presentación de la oferta]</w:t>
      </w:r>
    </w:p>
    <w:p>
      <w:pPr>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LPI No.: </w:t>
      </w:r>
      <w:r>
        <w:rPr>
          <w:rFonts w:eastAsia="Times New Roman" w:asciiTheme="minorHAnsi" w:hAnsiTheme="minorHAnsi" w:cstheme="minorHAnsi"/>
          <w:i/>
          <w:sz w:val="20"/>
          <w:szCs w:val="20"/>
          <w:lang w:val="es-EC"/>
        </w:rPr>
        <w:t>[indicar el número del proceso licitatorio]</w:t>
      </w:r>
    </w:p>
    <w:p>
      <w:pPr>
        <w:tabs>
          <w:tab w:val="right" w:pos="9360"/>
        </w:tabs>
        <w:spacing w:before="60" w:after="60" w:line="240" w:lineRule="auto"/>
        <w:ind w:left="720" w:hanging="720"/>
        <w:jc w:val="right"/>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Alternativa No.: </w:t>
      </w:r>
      <w:r>
        <w:rPr>
          <w:rFonts w:eastAsia="Times New Roman" w:asciiTheme="minorHAnsi" w:hAnsiTheme="minorHAnsi" w:cstheme="minorHAnsi"/>
          <w:i/>
          <w:sz w:val="20"/>
          <w:szCs w:val="20"/>
          <w:lang w:val="es-EC"/>
        </w:rPr>
        <w:t>[indicar el número de identificación si es una oferta alternativa]</w:t>
      </w:r>
    </w:p>
    <w:p>
      <w:pPr>
        <w:spacing w:before="60" w:after="60" w:line="240" w:lineRule="auto"/>
        <w:ind w:left="720" w:hanging="720"/>
        <w:jc w:val="right"/>
        <w:rPr>
          <w:rFonts w:eastAsia="Times New Roman" w:asciiTheme="minorHAnsi" w:hAnsiTheme="minorHAnsi" w:cstheme="minorHAnsi"/>
          <w:i/>
          <w:sz w:val="20"/>
          <w:szCs w:val="20"/>
          <w:lang w:val="es-EC"/>
        </w:rPr>
      </w:pPr>
    </w:p>
    <w:p>
      <w:pPr>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A:</w:t>
      </w:r>
      <w:r>
        <w:rPr>
          <w:rFonts w:eastAsia="Times New Roman" w:asciiTheme="minorHAnsi" w:hAnsiTheme="minorHAnsi" w:cstheme="minorHAnsi"/>
          <w:i/>
          <w:sz w:val="20"/>
          <w:szCs w:val="20"/>
          <w:lang w:val="es-EC"/>
        </w:rPr>
        <w:t>[indicar nombre completo del Comprador]</w:t>
      </w:r>
    </w:p>
    <w:p>
      <w:pPr>
        <w:spacing w:before="60" w:after="60" w:line="240" w:lineRule="auto"/>
        <w:rPr>
          <w:rFonts w:eastAsia="Times New Roman" w:asciiTheme="minorHAnsi" w:hAnsiTheme="minorHAnsi" w:cstheme="minorHAnsi"/>
          <w:i/>
          <w:sz w:val="20"/>
          <w:szCs w:val="20"/>
          <w:lang w:val="es-EC"/>
        </w:rPr>
      </w:pPr>
    </w:p>
    <w:p>
      <w:pPr>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POR CUANTO</w:t>
      </w:r>
    </w:p>
    <w:p>
      <w:pPr>
        <w:numPr>
          <w:ilvl w:val="12"/>
          <w:numId w:val="0"/>
        </w:numPr>
        <w:suppressAutoHyphens/>
        <w:spacing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Nosotros </w:t>
      </w:r>
      <w:r>
        <w:rPr>
          <w:rFonts w:asciiTheme="minorHAnsi" w:hAnsiTheme="minorHAnsi" w:cstheme="minorHAnsi"/>
          <w:i/>
          <w:sz w:val="20"/>
          <w:szCs w:val="20"/>
          <w:lang w:val="es-EC"/>
        </w:rPr>
        <w:t>[indicar nombre completo del Fabricante]</w:t>
      </w:r>
      <w:r>
        <w:rPr>
          <w:rFonts w:asciiTheme="minorHAnsi" w:hAnsiTheme="minorHAnsi" w:cstheme="minorHAnsi"/>
          <w:sz w:val="20"/>
          <w:szCs w:val="20"/>
          <w:lang w:val="es-EC"/>
        </w:rPr>
        <w:t xml:space="preserve">, como fabricantes oficiales de </w:t>
      </w:r>
      <w:r>
        <w:rPr>
          <w:rFonts w:asciiTheme="minorHAnsi" w:hAnsiTheme="minorHAnsi" w:cstheme="minorHAnsi"/>
          <w:i/>
          <w:sz w:val="20"/>
          <w:szCs w:val="20"/>
          <w:lang w:val="es-EC"/>
        </w:rPr>
        <w:t>[indique el nombre de los bienes fabricados]</w:t>
      </w:r>
      <w:r>
        <w:rPr>
          <w:rFonts w:asciiTheme="minorHAnsi" w:hAnsiTheme="minorHAnsi" w:cstheme="minorHAnsi"/>
          <w:sz w:val="20"/>
          <w:szCs w:val="20"/>
          <w:lang w:val="es-EC"/>
        </w:rPr>
        <w:t xml:space="preserve">, con fábricas ubicadas en </w:t>
      </w:r>
      <w:r>
        <w:rPr>
          <w:rFonts w:asciiTheme="minorHAnsi" w:hAnsiTheme="minorHAnsi" w:cstheme="minorHAnsi"/>
          <w:i/>
          <w:sz w:val="20"/>
          <w:szCs w:val="20"/>
          <w:lang w:val="es-EC"/>
        </w:rPr>
        <w:t xml:space="preserve">[indique la dirección completa de las fábricas] </w:t>
      </w:r>
      <w:r>
        <w:rPr>
          <w:rFonts w:asciiTheme="minorHAnsi" w:hAnsiTheme="minorHAnsi" w:cstheme="minorHAnsi"/>
          <w:sz w:val="20"/>
          <w:szCs w:val="20"/>
          <w:lang w:val="es-EC"/>
        </w:rPr>
        <w:t xml:space="preserve">mediante el presente instrumento autorizamos a </w:t>
      </w:r>
      <w:r>
        <w:rPr>
          <w:rFonts w:asciiTheme="minorHAnsi" w:hAnsiTheme="minorHAnsi" w:cstheme="minorHAnsi"/>
          <w:i/>
          <w:sz w:val="20"/>
          <w:szCs w:val="20"/>
          <w:lang w:val="es-EC"/>
        </w:rPr>
        <w:t>[indicar el nombre completo del Oferente]</w:t>
      </w:r>
      <w:r>
        <w:rPr>
          <w:rFonts w:asciiTheme="minorHAnsi" w:hAnsiTheme="minorHAnsi" w:cstheme="minorHAnsi"/>
          <w:sz w:val="20"/>
          <w:szCs w:val="20"/>
          <w:lang w:val="es-EC"/>
        </w:rPr>
        <w:t xml:space="preserve"> a presentar una oferta con el solo propósito de suministrar los siguientes Bienes de fabricación nuestra </w:t>
      </w:r>
      <w:r>
        <w:rPr>
          <w:rFonts w:asciiTheme="minorHAnsi" w:hAnsiTheme="minorHAnsi" w:cstheme="minorHAnsi"/>
          <w:i/>
          <w:sz w:val="20"/>
          <w:szCs w:val="20"/>
          <w:lang w:val="es-EC"/>
        </w:rPr>
        <w:t xml:space="preserve">[nombre y breve descripción de los bienes], </w:t>
      </w:r>
      <w:r>
        <w:rPr>
          <w:rFonts w:asciiTheme="minorHAnsi" w:hAnsiTheme="minorHAnsi" w:cstheme="minorHAnsi"/>
          <w:sz w:val="20"/>
          <w:szCs w:val="20"/>
          <w:lang w:val="es-EC"/>
        </w:rPr>
        <w:t>y a posteriormente negociar y firmar el Contrato.</w:t>
      </w:r>
    </w:p>
    <w:p>
      <w:pPr>
        <w:pStyle w:val="73"/>
        <w:numPr>
          <w:ilvl w:val="12"/>
          <w:numId w:val="0"/>
        </w:numPr>
        <w:suppressAutoHyphens/>
        <w:spacing w:before="0" w:after="0"/>
        <w:rPr>
          <w:rFonts w:asciiTheme="minorHAnsi" w:hAnsiTheme="minorHAnsi" w:cstheme="minorHAnsi"/>
          <w:spacing w:val="0"/>
          <w:sz w:val="20"/>
          <w:lang w:val="es-EC"/>
        </w:rPr>
      </w:pPr>
      <w:r>
        <w:rPr>
          <w:rFonts w:asciiTheme="minorHAnsi" w:hAnsiTheme="minorHAnsi" w:cstheme="minorHAnsi"/>
          <w:spacing w:val="0"/>
          <w:sz w:val="20"/>
          <w:lang w:val="es-EC"/>
        </w:rPr>
        <w:t>Por este medio extendemos nuestro aval y plena garantía, conforme a la Cláusula 28 de las Condiciones Generales del Contrato, respecto a los bienes ofrecidos por la firma antes mencionada.</w:t>
      </w:r>
    </w:p>
    <w:p>
      <w:pPr>
        <w:spacing w:before="60" w:after="60" w:line="240" w:lineRule="auto"/>
        <w:jc w:val="both"/>
        <w:rPr>
          <w:rFonts w:eastAsia="Times New Roman" w:asciiTheme="minorHAnsi" w:hAnsiTheme="minorHAnsi" w:cstheme="minorHAnsi"/>
          <w:sz w:val="20"/>
          <w:szCs w:val="20"/>
          <w:lang w:val="es-EC"/>
        </w:rPr>
      </w:pPr>
    </w:p>
    <w:p>
      <w:pPr>
        <w:spacing w:before="60" w:after="6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Firmado: </w:t>
      </w:r>
      <w:r>
        <w:rPr>
          <w:rFonts w:eastAsia="Times New Roman" w:asciiTheme="minorHAnsi" w:hAnsiTheme="minorHAnsi" w:cstheme="minorHAnsi"/>
          <w:i/>
          <w:iCs/>
          <w:sz w:val="20"/>
          <w:szCs w:val="20"/>
          <w:lang w:val="es-EC"/>
        </w:rPr>
        <w:t>[</w:t>
      </w:r>
      <w:r>
        <w:rPr>
          <w:rFonts w:asciiTheme="minorHAnsi" w:hAnsiTheme="minorHAnsi" w:cstheme="minorHAnsi"/>
          <w:i/>
          <w:sz w:val="20"/>
          <w:szCs w:val="20"/>
          <w:lang w:val="es-EC"/>
        </w:rPr>
        <w:t>indicar firma del(los) representante(s) autorizado(s) del Fabricante</w:t>
      </w:r>
      <w:r>
        <w:rPr>
          <w:rFonts w:eastAsia="Times New Roman" w:asciiTheme="minorHAnsi" w:hAnsiTheme="minorHAnsi" w:cstheme="minorHAnsi"/>
          <w:i/>
          <w:iCs/>
          <w:sz w:val="20"/>
          <w:szCs w:val="20"/>
          <w:lang w:val="es-EC"/>
        </w:rPr>
        <w:t>]</w:t>
      </w:r>
    </w:p>
    <w:p>
      <w:pPr>
        <w:spacing w:before="60" w:after="60" w:line="240" w:lineRule="auto"/>
        <w:rPr>
          <w:rFonts w:eastAsia="Times New Roman" w:asciiTheme="minorHAnsi" w:hAnsiTheme="minorHAnsi" w:cstheme="minorHAnsi"/>
          <w:sz w:val="20"/>
          <w:szCs w:val="20"/>
          <w:lang w:val="es-EC"/>
        </w:rPr>
      </w:pPr>
    </w:p>
    <w:p>
      <w:pPr>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Nombre: </w:t>
      </w:r>
      <w:r>
        <w:rPr>
          <w:rFonts w:asciiTheme="minorHAnsi" w:hAnsiTheme="minorHAnsi" w:cstheme="minorHAnsi"/>
          <w:i/>
          <w:sz w:val="20"/>
          <w:szCs w:val="20"/>
          <w:lang w:val="es-EC"/>
        </w:rPr>
        <w:t>[indicar el nombre completo del representante autorizado del Fabricante]</w:t>
      </w:r>
      <w:r>
        <w:rPr>
          <w:rFonts w:eastAsia="Times New Roman" w:asciiTheme="minorHAnsi" w:hAnsiTheme="minorHAnsi" w:cstheme="minorHAnsi"/>
          <w:sz w:val="20"/>
          <w:szCs w:val="20"/>
          <w:lang w:val="es-EC"/>
        </w:rPr>
        <w:tab/>
      </w:r>
    </w:p>
    <w:p>
      <w:pPr>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Título: </w:t>
      </w:r>
      <w:r>
        <w:rPr>
          <w:rFonts w:eastAsia="Times New Roman" w:asciiTheme="minorHAnsi" w:hAnsiTheme="minorHAnsi" w:cstheme="minorHAnsi"/>
          <w:i/>
          <w:iCs/>
          <w:sz w:val="20"/>
          <w:szCs w:val="20"/>
          <w:lang w:val="es-EC"/>
        </w:rPr>
        <w:t>[indicar título]</w:t>
      </w:r>
    </w:p>
    <w:p>
      <w:pPr>
        <w:spacing w:before="60" w:after="60" w:line="240" w:lineRule="auto"/>
        <w:rPr>
          <w:rFonts w:eastAsia="Times New Roman" w:asciiTheme="minorHAnsi" w:hAnsiTheme="minorHAnsi" w:cstheme="minorHAnsi"/>
          <w:sz w:val="20"/>
          <w:szCs w:val="20"/>
          <w:lang w:val="es-EC"/>
        </w:rPr>
      </w:pPr>
    </w:p>
    <w:p>
      <w:pPr>
        <w:spacing w:before="60" w:after="60" w:line="240" w:lineRule="auto"/>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Fechado </w:t>
      </w:r>
      <w:r>
        <w:rPr>
          <w:rFonts w:eastAsia="Times New Roman" w:asciiTheme="minorHAnsi" w:hAnsiTheme="minorHAnsi" w:cstheme="minorHAnsi"/>
          <w:i/>
          <w:iCs/>
          <w:sz w:val="20"/>
          <w:szCs w:val="20"/>
          <w:lang w:val="es-EC"/>
        </w:rPr>
        <w:t>[indicar fecha de la firma]</w:t>
      </w:r>
    </w:p>
    <w:p>
      <w:pPr>
        <w:spacing w:before="60" w:after="60" w:line="240" w:lineRule="auto"/>
        <w:rPr>
          <w:rFonts w:eastAsia="Times New Roman" w:asciiTheme="minorHAnsi" w:hAnsiTheme="minorHAnsi" w:cstheme="minorHAnsi"/>
          <w:sz w:val="20"/>
          <w:szCs w:val="20"/>
          <w:lang w:val="es-EC"/>
        </w:rPr>
      </w:pPr>
    </w:p>
    <w:p>
      <w:pPr>
        <w:spacing w:before="60" w:after="60" w:line="240" w:lineRule="auto"/>
        <w:jc w:val="both"/>
        <w:rPr>
          <w:rFonts w:asciiTheme="minorHAnsi" w:hAnsiTheme="minorHAnsi" w:cstheme="minorHAnsi"/>
          <w:b/>
          <w:sz w:val="20"/>
          <w:szCs w:val="20"/>
          <w:lang w:val="es-EC"/>
        </w:rPr>
        <w:sectPr>
          <w:pgSz w:w="12240" w:h="15840"/>
          <w:pgMar w:top="1440" w:right="1440" w:bottom="1440" w:left="1440" w:header="720" w:footer="720" w:gutter="0"/>
          <w:cols w:space="720" w:num="1"/>
          <w:docGrid w:linePitch="360" w:charSpace="0"/>
        </w:sectPr>
      </w:pPr>
    </w:p>
    <w:p>
      <w:pPr>
        <w:pStyle w:val="3"/>
        <w:jc w:val="center"/>
        <w:rPr>
          <w:rFonts w:asciiTheme="minorHAnsi" w:hAnsiTheme="minorHAnsi" w:cstheme="minorHAnsi"/>
          <w:color w:val="auto"/>
          <w:sz w:val="20"/>
          <w:szCs w:val="20"/>
          <w:lang w:val="es-EC"/>
        </w:rPr>
      </w:pPr>
      <w:bookmarkStart w:id="331" w:name="_Toc478103481"/>
      <w:r>
        <w:rPr>
          <w:rFonts w:asciiTheme="minorHAnsi" w:hAnsiTheme="minorHAnsi" w:cstheme="minorHAnsi"/>
          <w:color w:val="auto"/>
          <w:sz w:val="20"/>
          <w:szCs w:val="20"/>
          <w:lang w:val="es-EC"/>
        </w:rPr>
        <w:t>SECCIÓN V. PAÍSES ELEGIBLES</w:t>
      </w:r>
      <w:bookmarkEnd w:id="331"/>
    </w:p>
    <w:p>
      <w:pPr>
        <w:spacing w:before="60" w:after="60" w:line="240" w:lineRule="auto"/>
        <w:jc w:val="center"/>
        <w:rPr>
          <w:rFonts w:asciiTheme="minorHAnsi" w:hAnsiTheme="minorHAnsi" w:cstheme="minorHAnsi"/>
          <w:b/>
          <w:sz w:val="20"/>
          <w:szCs w:val="20"/>
          <w:lang w:val="es-EC"/>
        </w:rPr>
      </w:pPr>
      <w:r>
        <w:rPr>
          <w:rFonts w:asciiTheme="minorHAnsi" w:hAnsiTheme="minorHAnsi" w:cstheme="minorHAnsi"/>
          <w:b/>
          <w:sz w:val="20"/>
          <w:szCs w:val="20"/>
          <w:lang w:val="es-EC"/>
        </w:rPr>
        <w:t>Elegibilidad para el suministro de bienes, la construcción de obras y la prestación de servicios en adquisiciones financiadas por el Banco</w:t>
      </w:r>
    </w:p>
    <w:p>
      <w:pPr>
        <w:spacing w:before="60" w:after="60" w:line="240" w:lineRule="auto"/>
        <w:jc w:val="both"/>
        <w:rPr>
          <w:rFonts w:asciiTheme="minorHAnsi" w:hAnsiTheme="minorHAnsi" w:cstheme="minorHAnsi"/>
          <w:b/>
          <w:sz w:val="20"/>
          <w:szCs w:val="20"/>
          <w:lang w:val="es-EC"/>
        </w:rPr>
      </w:pPr>
    </w:p>
    <w:p>
      <w:pPr>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Lista de países miembros cuando el financiamiento provenga del Banco Interamericano de Desarrollo:</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i/>
          <w:iCs/>
          <w:sz w:val="20"/>
          <w:szCs w:val="20"/>
          <w:lang w:val="es-EC"/>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pPr>
        <w:spacing w:before="60" w:after="60" w:line="240" w:lineRule="auto"/>
        <w:jc w:val="both"/>
        <w:rPr>
          <w:rFonts w:asciiTheme="minorHAnsi" w:hAnsiTheme="minorHAnsi" w:cstheme="minorHAnsi"/>
          <w:i/>
          <w:sz w:val="20"/>
          <w:szCs w:val="20"/>
          <w:lang w:val="es-EC"/>
        </w:rPr>
      </w:pPr>
    </w:p>
    <w:p>
      <w:pPr>
        <w:jc w:val="both"/>
        <w:rPr>
          <w:rFonts w:asciiTheme="minorHAnsi" w:hAnsiTheme="minorHAnsi" w:cstheme="minorHAnsi"/>
          <w:b/>
          <w:sz w:val="20"/>
          <w:szCs w:val="20"/>
          <w:lang w:val="es-EC"/>
        </w:rPr>
      </w:pPr>
      <w:r>
        <w:rPr>
          <w:rFonts w:asciiTheme="minorHAnsi" w:hAnsiTheme="minorHAnsi" w:cstheme="minorHAnsi"/>
          <w:b/>
          <w:sz w:val="20"/>
          <w:szCs w:val="20"/>
          <w:lang w:val="es-EC"/>
        </w:rPr>
        <w:t>Territorios elegibles</w:t>
      </w:r>
    </w:p>
    <w:p>
      <w:pPr>
        <w:numPr>
          <w:ilvl w:val="0"/>
          <w:numId w:val="97"/>
        </w:numPr>
        <w:spacing w:after="0" w:line="240" w:lineRule="auto"/>
        <w:jc w:val="both"/>
        <w:rPr>
          <w:rFonts w:asciiTheme="minorHAnsi" w:hAnsiTheme="minorHAnsi" w:cstheme="minorHAnsi"/>
          <w:i/>
          <w:iCs/>
          <w:sz w:val="20"/>
          <w:szCs w:val="20"/>
          <w:lang w:val="es-EC"/>
        </w:rPr>
      </w:pPr>
      <w:r>
        <w:rPr>
          <w:rFonts w:asciiTheme="minorHAnsi" w:hAnsiTheme="minorHAnsi" w:cstheme="minorHAnsi"/>
          <w:i/>
          <w:iCs/>
          <w:sz w:val="20"/>
          <w:szCs w:val="20"/>
          <w:lang w:val="es-EC"/>
        </w:rPr>
        <w:t xml:space="preserve">Guadalupe, Guyana Francesa, Martinica, Reunión – por ser Departamentos de Francia. </w:t>
      </w:r>
    </w:p>
    <w:p>
      <w:pPr>
        <w:numPr>
          <w:ilvl w:val="0"/>
          <w:numId w:val="97"/>
        </w:numPr>
        <w:spacing w:after="0" w:line="240" w:lineRule="auto"/>
        <w:jc w:val="both"/>
        <w:rPr>
          <w:rFonts w:asciiTheme="minorHAnsi" w:hAnsiTheme="minorHAnsi" w:cstheme="minorHAnsi"/>
          <w:i/>
          <w:iCs/>
          <w:sz w:val="20"/>
          <w:szCs w:val="20"/>
          <w:lang w:val="es-EC"/>
        </w:rPr>
      </w:pPr>
      <w:r>
        <w:rPr>
          <w:rFonts w:asciiTheme="minorHAnsi" w:hAnsiTheme="minorHAnsi" w:cstheme="minorHAnsi"/>
          <w:i/>
          <w:iCs/>
          <w:sz w:val="20"/>
          <w:szCs w:val="20"/>
          <w:lang w:val="es-EC"/>
        </w:rPr>
        <w:t>Islas Vírgenes Estadounidenses, Puerto Rico, Guam – por ser Territorios de los Estados Unidos de América.</w:t>
      </w:r>
    </w:p>
    <w:p>
      <w:pPr>
        <w:numPr>
          <w:ilvl w:val="0"/>
          <w:numId w:val="97"/>
        </w:numPr>
        <w:spacing w:after="0" w:line="240" w:lineRule="auto"/>
        <w:jc w:val="both"/>
        <w:rPr>
          <w:rFonts w:asciiTheme="minorHAnsi" w:hAnsiTheme="minorHAnsi" w:cstheme="minorHAnsi"/>
          <w:i/>
          <w:iCs/>
          <w:sz w:val="20"/>
          <w:szCs w:val="20"/>
          <w:lang w:val="es-EC"/>
        </w:rPr>
      </w:pPr>
      <w:r>
        <w:rPr>
          <w:rFonts w:asciiTheme="minorHAnsi" w:hAnsiTheme="minorHAnsi" w:cstheme="minorHAnsi"/>
          <w:i/>
          <w:iCs/>
          <w:sz w:val="20"/>
          <w:szCs w:val="20"/>
          <w:lang w:val="es-EC"/>
        </w:rPr>
        <w:t>Aruba – por ser País Constituyente del Reino de los Países Bajos; y Bonaire, Curazao, Sint Maarten, Sint Eustatius – por ser Departamentos de Reino de los Países Bajos.</w:t>
      </w:r>
    </w:p>
    <w:p>
      <w:pPr>
        <w:numPr>
          <w:ilvl w:val="0"/>
          <w:numId w:val="97"/>
        </w:numPr>
        <w:spacing w:after="0" w:line="240" w:lineRule="auto"/>
        <w:jc w:val="both"/>
        <w:rPr>
          <w:rFonts w:asciiTheme="minorHAnsi" w:hAnsiTheme="minorHAnsi" w:cstheme="minorHAnsi"/>
          <w:i/>
          <w:iCs/>
          <w:sz w:val="20"/>
          <w:szCs w:val="20"/>
          <w:lang w:val="es-EC"/>
        </w:rPr>
      </w:pPr>
      <w:r>
        <w:rPr>
          <w:rFonts w:asciiTheme="minorHAnsi" w:hAnsiTheme="minorHAnsi" w:cstheme="minorHAnsi"/>
          <w:i/>
          <w:iCs/>
          <w:sz w:val="20"/>
          <w:szCs w:val="20"/>
          <w:lang w:val="es-EC"/>
        </w:rPr>
        <w:t>Hong Kong – por ser Región Especial Administrativa de la República Popular de China.</w:t>
      </w:r>
    </w:p>
    <w:p>
      <w:pPr>
        <w:spacing w:before="60" w:after="60" w:line="240" w:lineRule="auto"/>
        <w:jc w:val="both"/>
        <w:rPr>
          <w:rFonts w:asciiTheme="minorHAnsi" w:hAnsiTheme="minorHAnsi" w:cstheme="minorHAnsi"/>
          <w:b/>
          <w:bCs/>
          <w:sz w:val="20"/>
          <w:szCs w:val="20"/>
          <w:lang w:val="es-EC"/>
        </w:rPr>
      </w:pPr>
    </w:p>
    <w:p>
      <w:pPr>
        <w:spacing w:before="60" w:after="60" w:line="240" w:lineRule="auto"/>
        <w:jc w:val="both"/>
        <w:rPr>
          <w:rFonts w:asciiTheme="minorHAnsi" w:hAnsiTheme="minorHAnsi" w:cstheme="minorHAnsi"/>
          <w:b/>
          <w:sz w:val="20"/>
          <w:szCs w:val="20"/>
          <w:lang w:val="es-EC"/>
        </w:rPr>
      </w:pPr>
      <w:r>
        <w:rPr>
          <w:rFonts w:asciiTheme="minorHAnsi" w:hAnsiTheme="minorHAnsi" w:cstheme="minorHAnsi"/>
          <w:b/>
          <w:bCs/>
          <w:sz w:val="20"/>
          <w:szCs w:val="20"/>
          <w:lang w:val="es-EC"/>
        </w:rPr>
        <w:t>Criterios para determinar Nacionalidad y el país de origen de los bienes y servicios</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Para efectuar la determinación sobre: a) la nacionalidad de las firmas e individuos elegibles para participar en contratos financiados por el Banco y b) el país de origen de los bienes y servicios, se utilizarán los siguientes criterios:</w:t>
      </w:r>
    </w:p>
    <w:p>
      <w:pPr>
        <w:spacing w:before="120" w:after="60" w:line="240" w:lineRule="auto"/>
        <w:jc w:val="both"/>
        <w:rPr>
          <w:rFonts w:asciiTheme="minorHAnsi" w:hAnsiTheme="minorHAnsi" w:cstheme="minorHAnsi"/>
          <w:sz w:val="20"/>
          <w:szCs w:val="20"/>
          <w:lang w:val="es-EC"/>
        </w:rPr>
      </w:pPr>
      <w:r>
        <w:rPr>
          <w:rFonts w:asciiTheme="minorHAnsi" w:hAnsiTheme="minorHAnsi" w:cstheme="minorHAnsi"/>
          <w:b/>
          <w:sz w:val="20"/>
          <w:szCs w:val="20"/>
          <w:u w:val="single"/>
          <w:lang w:val="es-EC"/>
        </w:rPr>
        <w:t>A) Nacionalidad</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bCs/>
          <w:sz w:val="20"/>
          <w:szCs w:val="20"/>
          <w:lang w:val="es-EC"/>
        </w:rPr>
        <w:t>a)</w:t>
      </w:r>
      <w:r>
        <w:rPr>
          <w:rFonts w:asciiTheme="minorHAnsi" w:hAnsiTheme="minorHAnsi" w:cstheme="minorHAnsi"/>
          <w:b/>
          <w:sz w:val="20"/>
          <w:szCs w:val="20"/>
          <w:lang w:val="es-EC"/>
        </w:rPr>
        <w:t xml:space="preserve"> Un individuo </w:t>
      </w:r>
      <w:r>
        <w:rPr>
          <w:rFonts w:asciiTheme="minorHAnsi" w:hAnsiTheme="minorHAnsi" w:cstheme="minorHAnsi"/>
          <w:bCs/>
          <w:sz w:val="20"/>
          <w:szCs w:val="20"/>
          <w:lang w:val="es-EC"/>
        </w:rPr>
        <w:t>tiene la nacionalidad</w:t>
      </w:r>
      <w:r>
        <w:rPr>
          <w:rFonts w:asciiTheme="minorHAnsi" w:hAnsiTheme="minorHAnsi" w:cstheme="minorHAnsi"/>
          <w:sz w:val="20"/>
          <w:szCs w:val="20"/>
          <w:lang w:val="es-EC"/>
        </w:rPr>
        <w:t xml:space="preserve"> de un país miembro del Banco si satisface uno de los siguientes requisitos:</w:t>
      </w:r>
    </w:p>
    <w:p>
      <w:pPr>
        <w:numPr>
          <w:ilvl w:val="1"/>
          <w:numId w:val="98"/>
        </w:num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es ciudadano de un país miembro; o</w:t>
      </w:r>
    </w:p>
    <w:p>
      <w:pPr>
        <w:numPr>
          <w:ilvl w:val="1"/>
          <w:numId w:val="98"/>
        </w:num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ha establecido su domicilio en un país miembro como residente “bona fide” y está legalmente autorizado para trabajar en dicho país.</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bCs/>
          <w:sz w:val="20"/>
          <w:szCs w:val="20"/>
          <w:lang w:val="es-EC"/>
        </w:rPr>
        <w:t>b)</w:t>
      </w:r>
      <w:r>
        <w:rPr>
          <w:rFonts w:asciiTheme="minorHAnsi" w:hAnsiTheme="minorHAnsi" w:cstheme="minorHAnsi"/>
          <w:b/>
          <w:sz w:val="20"/>
          <w:szCs w:val="20"/>
          <w:lang w:val="es-EC"/>
        </w:rPr>
        <w:t xml:space="preserve"> Una firma </w:t>
      </w:r>
      <w:r>
        <w:rPr>
          <w:rFonts w:asciiTheme="minorHAnsi" w:hAnsiTheme="minorHAnsi" w:cstheme="minorHAnsi"/>
          <w:sz w:val="20"/>
          <w:szCs w:val="20"/>
          <w:lang w:val="es-EC"/>
        </w:rPr>
        <w:t>tiene la nacionalidad de un país miembro si satisface los dos siguientes requisitos:</w:t>
      </w:r>
    </w:p>
    <w:p>
      <w:pPr>
        <w:numPr>
          <w:ilvl w:val="0"/>
          <w:numId w:val="99"/>
        </w:num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esta legalmente constituida o incorporada conforme a las leyes de un país miembro del Banco; y</w:t>
      </w:r>
    </w:p>
    <w:p>
      <w:pPr>
        <w:numPr>
          <w:ilvl w:val="0"/>
          <w:numId w:val="99"/>
        </w:num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más del cincuenta por ciento (50%) del capital de la firma es de propiedad de individuos o firmas de países miembros del Banco.</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Todos los socios de una asociación en participación, consorcio o asociación (APCA) con responsabilidad mancomunada y solidaria y todos los subcontratistas deben cumplir con los requisitos arriba establecidos.</w:t>
      </w:r>
    </w:p>
    <w:p>
      <w:pPr>
        <w:spacing w:before="120" w:after="60" w:line="240" w:lineRule="auto"/>
        <w:jc w:val="both"/>
        <w:rPr>
          <w:rFonts w:asciiTheme="minorHAnsi" w:hAnsiTheme="minorHAnsi" w:cstheme="minorHAnsi"/>
          <w:b/>
          <w:sz w:val="20"/>
          <w:szCs w:val="20"/>
          <w:u w:val="single"/>
          <w:lang w:val="es-EC"/>
        </w:rPr>
      </w:pPr>
    </w:p>
    <w:p>
      <w:pPr>
        <w:spacing w:before="120" w:after="60" w:line="240" w:lineRule="auto"/>
        <w:jc w:val="both"/>
        <w:rPr>
          <w:rFonts w:asciiTheme="minorHAnsi" w:hAnsiTheme="minorHAnsi" w:cstheme="minorHAnsi"/>
          <w:b/>
          <w:sz w:val="20"/>
          <w:szCs w:val="20"/>
          <w:u w:val="single"/>
          <w:lang w:val="es-EC"/>
        </w:rPr>
      </w:pPr>
      <w:r>
        <w:rPr>
          <w:rFonts w:asciiTheme="minorHAnsi" w:hAnsiTheme="minorHAnsi" w:cstheme="minorHAnsi"/>
          <w:b/>
          <w:sz w:val="20"/>
          <w:szCs w:val="20"/>
          <w:u w:val="single"/>
          <w:lang w:val="es-EC"/>
        </w:rPr>
        <w:t>B) Origen de los Bienes</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Para efectos de determinación del origen de los bienes identificados como “hecho en la Unión Europea”, estos serán elegibles sin necesidad de identificar el correspondiente país específico de la Unión Europea.</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El origen de los materiales, partes o componentes de los bienes o la nacionalidad de la firma productora, ensambladora, distribuidora o vendedora de los bienes no determina el origen de los mismos</w:t>
      </w:r>
    </w:p>
    <w:p>
      <w:pPr>
        <w:spacing w:before="60" w:after="60" w:line="240" w:lineRule="auto"/>
        <w:jc w:val="both"/>
        <w:rPr>
          <w:rFonts w:asciiTheme="minorHAnsi" w:hAnsiTheme="minorHAnsi" w:cstheme="minorHAnsi"/>
          <w:sz w:val="20"/>
          <w:szCs w:val="20"/>
          <w:lang w:val="es-EC"/>
        </w:rPr>
      </w:pPr>
    </w:p>
    <w:p>
      <w:pPr>
        <w:spacing w:before="60" w:after="60" w:line="240" w:lineRule="auto"/>
        <w:jc w:val="both"/>
        <w:rPr>
          <w:rFonts w:asciiTheme="minorHAnsi" w:hAnsiTheme="minorHAnsi" w:cstheme="minorHAnsi"/>
          <w:b/>
          <w:sz w:val="20"/>
          <w:szCs w:val="20"/>
          <w:u w:val="single"/>
          <w:lang w:val="es-EC"/>
        </w:rPr>
      </w:pPr>
      <w:r>
        <w:rPr>
          <w:rFonts w:asciiTheme="minorHAnsi" w:hAnsiTheme="minorHAnsi" w:cstheme="minorHAnsi"/>
          <w:b/>
          <w:sz w:val="20"/>
          <w:szCs w:val="20"/>
          <w:u w:val="single"/>
          <w:lang w:val="es-EC"/>
        </w:rPr>
        <w:t>C) Origen de los Servicios</w:t>
      </w:r>
    </w:p>
    <w:p>
      <w:pPr>
        <w:spacing w:before="60" w:after="60" w:line="240" w:lineRule="auto"/>
        <w:jc w:val="both"/>
        <w:rPr>
          <w:rFonts w:asciiTheme="minorHAnsi" w:hAnsiTheme="minorHAnsi" w:cstheme="minorHAnsi"/>
          <w:bCs/>
          <w:i/>
          <w:sz w:val="20"/>
          <w:szCs w:val="20"/>
          <w:lang w:val="es-EC"/>
        </w:rPr>
      </w:pPr>
      <w:r>
        <w:rPr>
          <w:rFonts w:asciiTheme="minorHAnsi" w:hAnsiTheme="minorHAnsi" w:cstheme="minorHAnsi"/>
          <w:sz w:val="20"/>
          <w:szCs w:val="20"/>
          <w:lang w:val="es-EC"/>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pPr>
        <w:spacing w:before="60" w:after="60" w:line="240" w:lineRule="auto"/>
        <w:jc w:val="both"/>
        <w:rPr>
          <w:rFonts w:asciiTheme="minorHAnsi" w:hAnsiTheme="minorHAnsi" w:cstheme="minorHAnsi"/>
          <w:bCs/>
          <w:i/>
          <w:sz w:val="20"/>
          <w:szCs w:val="20"/>
          <w:lang w:val="es-EC"/>
        </w:rPr>
        <w:sectPr>
          <w:headerReference r:id="rId11" w:type="default"/>
          <w:pgSz w:w="12240" w:h="15840"/>
          <w:pgMar w:top="1440" w:right="1440" w:bottom="1440" w:left="1440" w:header="720" w:footer="720" w:gutter="0"/>
          <w:cols w:space="720" w:num="1"/>
          <w:docGrid w:linePitch="360" w:charSpace="0"/>
        </w:sectPr>
      </w:pPr>
    </w:p>
    <w:p>
      <w:pPr>
        <w:pStyle w:val="3"/>
        <w:jc w:val="center"/>
        <w:rPr>
          <w:rFonts w:asciiTheme="minorHAnsi" w:hAnsiTheme="minorHAnsi" w:cstheme="minorHAnsi"/>
          <w:color w:val="auto"/>
          <w:sz w:val="20"/>
          <w:szCs w:val="20"/>
          <w:lang w:val="es-EC"/>
        </w:rPr>
      </w:pPr>
      <w:bookmarkStart w:id="332" w:name="_Toc478103482"/>
      <w:r>
        <w:rPr>
          <w:rFonts w:asciiTheme="minorHAnsi" w:hAnsiTheme="minorHAnsi" w:cstheme="minorHAnsi"/>
          <w:color w:val="auto"/>
          <w:sz w:val="20"/>
          <w:szCs w:val="20"/>
          <w:lang w:val="es-EC"/>
        </w:rPr>
        <w:t>SECCIÓN VI. PRÁCTICAS PROHIBIDAS</w:t>
      </w:r>
      <w:bookmarkEnd w:id="332"/>
    </w:p>
    <w:p>
      <w:pPr>
        <w:spacing w:before="120" w:after="120" w:line="240" w:lineRule="auto"/>
        <w:jc w:val="both"/>
        <w:rPr>
          <w:rFonts w:eastAsia="Times New Roman" w:asciiTheme="minorHAnsi" w:hAnsiTheme="minorHAnsi" w:cstheme="minorHAnsi"/>
          <w:b/>
          <w:sz w:val="20"/>
          <w:szCs w:val="20"/>
          <w:lang w:val="es-EC"/>
        </w:rPr>
      </w:pPr>
    </w:p>
    <w:p>
      <w:pPr>
        <w:numPr>
          <w:ilvl w:val="0"/>
          <w:numId w:val="100"/>
        </w:numPr>
        <w:spacing w:before="120" w:after="120" w:line="240" w:lineRule="auto"/>
        <w:rPr>
          <w:rFonts w:eastAsia="Times New Roman" w:asciiTheme="minorHAnsi" w:hAnsiTheme="minorHAnsi" w:cstheme="minorHAnsi"/>
          <w:b/>
          <w:sz w:val="20"/>
          <w:szCs w:val="20"/>
          <w:lang w:val="es-EC"/>
        </w:rPr>
      </w:pPr>
      <w:r>
        <w:rPr>
          <w:rFonts w:eastAsia="Times New Roman" w:asciiTheme="minorHAnsi" w:hAnsiTheme="minorHAnsi" w:cstheme="minorHAnsi"/>
          <w:b/>
          <w:sz w:val="20"/>
          <w:szCs w:val="20"/>
          <w:lang w:val="es-EC"/>
        </w:rPr>
        <w:t xml:space="preserve">Prácticas Prohibidas </w:t>
      </w:r>
    </w:p>
    <w:p>
      <w:pPr>
        <w:numPr>
          <w:ilvl w:val="1"/>
          <w:numId w:val="101"/>
        </w:numPr>
        <w:suppressAutoHyphens/>
        <w:overflowPunct w:val="0"/>
        <w:autoSpaceDE w:val="0"/>
        <w:autoSpaceDN w:val="0"/>
        <w:adjustRightInd w:val="0"/>
        <w:spacing w:before="120" w:after="120" w:line="240" w:lineRule="auto"/>
        <w:ind w:left="0" w:firstLine="18"/>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El</w:t>
      </w:r>
      <w:r>
        <w:rPr>
          <w:rFonts w:eastAsia="Times New Roman" w:asciiTheme="minorHAnsi" w:hAnsiTheme="minorHAnsi" w:cstheme="minorHAnsi"/>
          <w:bCs/>
          <w:sz w:val="20"/>
          <w:szCs w:val="20"/>
          <w:lang w:val="es-EC"/>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Pr>
          <w:rFonts w:eastAsia="Times New Roman" w:asciiTheme="minorHAnsi" w:hAnsiTheme="minorHAnsi" w:cstheme="minorHAnsi"/>
          <w:bCs/>
          <w:sz w:val="20"/>
          <w:szCs w:val="20"/>
          <w:vertAlign w:val="superscript"/>
          <w:lang w:val="es-EC"/>
        </w:rPr>
        <w:footnoteReference w:id="4"/>
      </w:r>
      <w:r>
        <w:rPr>
          <w:rFonts w:eastAsia="Times New Roman" w:asciiTheme="minorHAnsi" w:hAnsiTheme="minorHAnsi" w:cstheme="minorHAnsi"/>
          <w:bCs/>
          <w:sz w:val="20"/>
          <w:szCs w:val="20"/>
          <w:lang w:val="es-EC"/>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Pr>
          <w:rFonts w:eastAsia="Times New Roman" w:asciiTheme="minorHAnsi" w:hAnsiTheme="minorHAnsi" w:cstheme="minorHAnsi"/>
          <w:sz w:val="20"/>
          <w:szCs w:val="20"/>
          <w:lang w:val="es-EC"/>
        </w:rPr>
        <w:t xml:space="preserve">. </w:t>
      </w:r>
    </w:p>
    <w:p>
      <w:pPr>
        <w:widowControl w:val="0"/>
        <w:numPr>
          <w:ilvl w:val="0"/>
          <w:numId w:val="102"/>
        </w:numPr>
        <w:suppressAutoHyphens/>
        <w:overflowPunct w:val="0"/>
        <w:autoSpaceDE w:val="0"/>
        <w:autoSpaceDN w:val="0"/>
        <w:adjustRightInd w:val="0"/>
        <w:spacing w:before="120" w:after="120" w:line="240" w:lineRule="auto"/>
        <w:ind w:left="36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El Banco define, para efectos de esta disposición, los términos que figuran a continuación</w:t>
      </w:r>
      <w:r>
        <w:rPr>
          <w:rFonts w:eastAsia="Times New Roman" w:asciiTheme="minorHAnsi" w:hAnsiTheme="minorHAnsi" w:cstheme="minorHAnsi"/>
          <w:sz w:val="20"/>
          <w:szCs w:val="20"/>
          <w:lang w:val="es-EC"/>
        </w:rPr>
        <w:t>:</w:t>
      </w:r>
    </w:p>
    <w:p>
      <w:pPr>
        <w:widowControl w:val="0"/>
        <w:numPr>
          <w:ilvl w:val="0"/>
          <w:numId w:val="103"/>
        </w:numPr>
        <w:suppressAutoHyphens/>
        <w:overflowPunct w:val="0"/>
        <w:autoSpaceDE w:val="0"/>
        <w:autoSpaceDN w:val="0"/>
        <w:adjustRightInd w:val="0"/>
        <w:spacing w:before="120" w:after="120" w:line="240" w:lineRule="auto"/>
        <w:ind w:left="90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Una práctica corruptiva consiste en ofrecer, dar, recibir o solicitar, directa o indirectamente, cualquier cosa de valor para influenciar indebidamente las acciones de otra parte</w:t>
      </w:r>
      <w:r>
        <w:rPr>
          <w:rFonts w:eastAsia="Times New Roman" w:asciiTheme="minorHAnsi" w:hAnsiTheme="minorHAnsi" w:cstheme="minorHAnsi"/>
          <w:sz w:val="20"/>
          <w:szCs w:val="20"/>
          <w:lang w:val="es-EC"/>
        </w:rPr>
        <w:t xml:space="preserve">; </w:t>
      </w:r>
    </w:p>
    <w:p>
      <w:pPr>
        <w:widowControl w:val="0"/>
        <w:numPr>
          <w:ilvl w:val="0"/>
          <w:numId w:val="103"/>
        </w:numPr>
        <w:suppressAutoHyphens/>
        <w:overflowPunct w:val="0"/>
        <w:autoSpaceDE w:val="0"/>
        <w:autoSpaceDN w:val="0"/>
        <w:adjustRightInd w:val="0"/>
        <w:spacing w:before="120" w:after="120" w:line="240" w:lineRule="auto"/>
        <w:ind w:left="90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Pr>
          <w:rFonts w:eastAsia="Times New Roman" w:asciiTheme="minorHAnsi" w:hAnsiTheme="minorHAnsi" w:cstheme="minorHAnsi"/>
          <w:sz w:val="20"/>
          <w:szCs w:val="20"/>
          <w:lang w:val="es-EC"/>
        </w:rPr>
        <w:t>;</w:t>
      </w:r>
    </w:p>
    <w:p>
      <w:pPr>
        <w:widowControl w:val="0"/>
        <w:numPr>
          <w:ilvl w:val="0"/>
          <w:numId w:val="103"/>
        </w:numPr>
        <w:suppressAutoHyphens/>
        <w:overflowPunct w:val="0"/>
        <w:autoSpaceDE w:val="0"/>
        <w:autoSpaceDN w:val="0"/>
        <w:adjustRightInd w:val="0"/>
        <w:spacing w:before="120" w:after="120" w:line="240" w:lineRule="auto"/>
        <w:ind w:left="90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Una práctica coercitiva consiste en perjudicar o causar daño, o amenazar con perjudicar o causar daño, directa o indirectamente, a cualquier parte o a sus bienes para influenciar indebidamente las acciones de una parte</w:t>
      </w:r>
      <w:r>
        <w:rPr>
          <w:rFonts w:eastAsia="Times New Roman" w:asciiTheme="minorHAnsi" w:hAnsiTheme="minorHAnsi" w:cstheme="minorHAnsi"/>
          <w:sz w:val="20"/>
          <w:szCs w:val="20"/>
          <w:lang w:val="es-EC"/>
        </w:rPr>
        <w:t>; y</w:t>
      </w:r>
    </w:p>
    <w:p>
      <w:pPr>
        <w:widowControl w:val="0"/>
        <w:numPr>
          <w:ilvl w:val="0"/>
          <w:numId w:val="103"/>
        </w:numPr>
        <w:suppressAutoHyphens/>
        <w:overflowPunct w:val="0"/>
        <w:autoSpaceDE w:val="0"/>
        <w:autoSpaceDN w:val="0"/>
        <w:adjustRightInd w:val="0"/>
        <w:spacing w:before="120" w:after="120" w:line="240" w:lineRule="auto"/>
        <w:ind w:left="90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Una práctica colusoria es un acuerdo entre dos o más partes realizado con la intención de alcanzar un propósito inapropiado, lo que incluye influenciar en forma inapropiada las acciones de otra parte; y</w:t>
      </w:r>
    </w:p>
    <w:p>
      <w:pPr>
        <w:widowControl w:val="0"/>
        <w:numPr>
          <w:ilvl w:val="0"/>
          <w:numId w:val="103"/>
        </w:numPr>
        <w:suppressAutoHyphens/>
        <w:overflowPunct w:val="0"/>
        <w:autoSpaceDE w:val="0"/>
        <w:autoSpaceDN w:val="0"/>
        <w:adjustRightInd w:val="0"/>
        <w:spacing w:before="120" w:after="120" w:line="240" w:lineRule="auto"/>
        <w:ind w:left="90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Una práctica obstructiva consiste en</w:t>
      </w:r>
      <w:r>
        <w:rPr>
          <w:rFonts w:eastAsia="Times New Roman" w:asciiTheme="minorHAnsi" w:hAnsiTheme="minorHAnsi" w:cstheme="minorHAnsi"/>
          <w:iCs/>
          <w:sz w:val="20"/>
          <w:szCs w:val="20"/>
          <w:lang w:val="es-EC"/>
        </w:rPr>
        <w:t>:</w:t>
      </w:r>
    </w:p>
    <w:p>
      <w:pPr>
        <w:widowControl w:val="0"/>
        <w:numPr>
          <w:ilvl w:val="1"/>
          <w:numId w:val="103"/>
        </w:numPr>
        <w:suppressAutoHyphens/>
        <w:overflowPunct w:val="0"/>
        <w:autoSpaceDE w:val="0"/>
        <w:autoSpaceDN w:val="0"/>
        <w:adjustRightInd w:val="0"/>
        <w:spacing w:before="120" w:after="120" w:line="240" w:lineRule="auto"/>
        <w:ind w:left="180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pPr>
        <w:widowControl w:val="0"/>
        <w:numPr>
          <w:ilvl w:val="0"/>
          <w:numId w:val="104"/>
        </w:numPr>
        <w:suppressAutoHyphens/>
        <w:overflowPunct w:val="0"/>
        <w:autoSpaceDE w:val="0"/>
        <w:autoSpaceDN w:val="0"/>
        <w:adjustRightInd w:val="0"/>
        <w:spacing w:before="120" w:after="120" w:line="240" w:lineRule="auto"/>
        <w:ind w:left="180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todo acto dirigido a impedir materialmente el ejercicio de inspección del Banco y los derechos de auditoría previstos en el párrafo 1.1 (e) de abajo</w:t>
      </w:r>
      <w:r>
        <w:rPr>
          <w:rFonts w:eastAsia="Times New Roman" w:asciiTheme="minorHAnsi" w:hAnsiTheme="minorHAnsi" w:cstheme="minorHAnsi"/>
          <w:sz w:val="20"/>
          <w:szCs w:val="20"/>
          <w:lang w:val="es-EC"/>
        </w:rPr>
        <w:t>.</w:t>
      </w:r>
    </w:p>
    <w:p>
      <w:pPr>
        <w:widowControl w:val="0"/>
        <w:numPr>
          <w:ilvl w:val="0"/>
          <w:numId w:val="102"/>
        </w:numPr>
        <w:suppressAutoHyphens/>
        <w:overflowPunct w:val="0"/>
        <w:autoSpaceDE w:val="0"/>
        <w:autoSpaceDN w:val="0"/>
        <w:adjustRightInd w:val="0"/>
        <w:spacing w:before="120" w:after="120" w:line="240" w:lineRule="auto"/>
        <w:ind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Pr>
          <w:rFonts w:eastAsia="Times New Roman" w:asciiTheme="minorHAnsi" w:hAnsiTheme="minorHAnsi" w:cstheme="minorHAnsi"/>
          <w:sz w:val="20"/>
          <w:szCs w:val="20"/>
          <w:lang w:val="es-EC"/>
        </w:rPr>
        <w:t>:</w:t>
      </w:r>
    </w:p>
    <w:p>
      <w:pPr>
        <w:widowControl w:val="0"/>
        <w:numPr>
          <w:ilvl w:val="0"/>
          <w:numId w:val="105"/>
        </w:numPr>
        <w:suppressAutoHyphens/>
        <w:overflowPunct w:val="0"/>
        <w:autoSpaceDE w:val="0"/>
        <w:autoSpaceDN w:val="0"/>
        <w:adjustRightInd w:val="0"/>
        <w:spacing w:before="120" w:after="120" w:line="240" w:lineRule="auto"/>
        <w:ind w:left="1080" w:hanging="540"/>
        <w:jc w:val="both"/>
        <w:textAlignment w:val="baseline"/>
        <w:rPr>
          <w:rFonts w:eastAsia="Times New Roman" w:asciiTheme="minorHAnsi" w:hAnsiTheme="minorHAnsi" w:cstheme="minorHAnsi"/>
          <w:iCs/>
          <w:sz w:val="20"/>
          <w:szCs w:val="20"/>
          <w:lang w:val="es-EC"/>
        </w:rPr>
      </w:pPr>
      <w:r>
        <w:rPr>
          <w:rFonts w:eastAsia="Times New Roman" w:asciiTheme="minorHAnsi" w:hAnsiTheme="minorHAnsi" w:cstheme="minorHAnsi"/>
          <w:bCs/>
          <w:iCs/>
          <w:sz w:val="20"/>
          <w:szCs w:val="20"/>
          <w:lang w:val="es-EC"/>
        </w:rPr>
        <w:t>no financiar ninguna propuesta de adjudicación de un contrato para la adquisición de bienes o servicios, la contratación de obras, o servicios de consultoría</w:t>
      </w:r>
      <w:r>
        <w:rPr>
          <w:rFonts w:eastAsia="Times New Roman" w:asciiTheme="minorHAnsi" w:hAnsiTheme="minorHAnsi" w:cstheme="minorHAnsi"/>
          <w:iCs/>
          <w:sz w:val="20"/>
          <w:szCs w:val="20"/>
          <w:lang w:val="es-EC"/>
        </w:rPr>
        <w:t>;</w:t>
      </w:r>
    </w:p>
    <w:p>
      <w:pPr>
        <w:widowControl w:val="0"/>
        <w:numPr>
          <w:ilvl w:val="0"/>
          <w:numId w:val="105"/>
        </w:numPr>
        <w:suppressAutoHyphens/>
        <w:overflowPunct w:val="0"/>
        <w:autoSpaceDE w:val="0"/>
        <w:autoSpaceDN w:val="0"/>
        <w:adjustRightInd w:val="0"/>
        <w:spacing w:before="120" w:after="120" w:line="240" w:lineRule="auto"/>
        <w:ind w:left="1080" w:hanging="540"/>
        <w:jc w:val="both"/>
        <w:textAlignment w:val="baseline"/>
        <w:rPr>
          <w:rFonts w:eastAsia="Times New Roman" w:asciiTheme="minorHAnsi" w:hAnsiTheme="minorHAnsi" w:cstheme="minorHAnsi"/>
          <w:bCs/>
          <w:sz w:val="20"/>
          <w:szCs w:val="20"/>
          <w:lang w:val="es-EC"/>
        </w:rPr>
      </w:pPr>
      <w:r>
        <w:rPr>
          <w:rFonts w:eastAsia="Times New Roman" w:asciiTheme="minorHAnsi" w:hAnsiTheme="minorHAnsi" w:cstheme="minorHAnsi"/>
          <w:bCs/>
          <w:sz w:val="20"/>
          <w:szCs w:val="20"/>
          <w:lang w:val="es-EC"/>
        </w:rPr>
        <w:t>suspender los desembolsos de la operación, si se determina, en cualquier etapa, que un empleado, agencia o representante del Prestatario, el Organismo Ejecutor o el Organismo Contratante ha cometido una Práctica Prohibida;</w:t>
      </w:r>
    </w:p>
    <w:p>
      <w:pPr>
        <w:widowControl w:val="0"/>
        <w:numPr>
          <w:ilvl w:val="0"/>
          <w:numId w:val="105"/>
        </w:numPr>
        <w:suppressAutoHyphens/>
        <w:overflowPunct w:val="0"/>
        <w:autoSpaceDE w:val="0"/>
        <w:autoSpaceDN w:val="0"/>
        <w:adjustRightInd w:val="0"/>
        <w:spacing w:before="120" w:after="120" w:line="240" w:lineRule="auto"/>
        <w:ind w:left="1080" w:hanging="540"/>
        <w:jc w:val="both"/>
        <w:textAlignment w:val="baseline"/>
        <w:rPr>
          <w:rFonts w:eastAsia="Times New Roman" w:asciiTheme="minorHAnsi" w:hAnsiTheme="minorHAnsi" w:cstheme="minorHAnsi"/>
          <w:bCs/>
          <w:sz w:val="20"/>
          <w:szCs w:val="20"/>
          <w:lang w:val="es-EC"/>
        </w:rPr>
      </w:pPr>
      <w:r>
        <w:rPr>
          <w:rFonts w:eastAsia="Times New Roman" w:asciiTheme="minorHAnsi" w:hAnsiTheme="minorHAnsi" w:cstheme="minorHAnsi"/>
          <w:bCs/>
          <w:sz w:val="20"/>
          <w:szCs w:val="20"/>
          <w:lang w:val="es-EC"/>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pPr>
        <w:widowControl w:val="0"/>
        <w:numPr>
          <w:ilvl w:val="0"/>
          <w:numId w:val="105"/>
        </w:numPr>
        <w:suppressAutoHyphens/>
        <w:overflowPunct w:val="0"/>
        <w:autoSpaceDE w:val="0"/>
        <w:autoSpaceDN w:val="0"/>
        <w:adjustRightInd w:val="0"/>
        <w:spacing w:before="120" w:after="120" w:line="240" w:lineRule="auto"/>
        <w:ind w:left="1080" w:hanging="540"/>
        <w:jc w:val="both"/>
        <w:textAlignment w:val="baseline"/>
        <w:rPr>
          <w:rFonts w:eastAsia="Times New Roman" w:asciiTheme="minorHAnsi" w:hAnsiTheme="minorHAnsi" w:cstheme="minorHAnsi"/>
          <w:bCs/>
          <w:sz w:val="20"/>
          <w:szCs w:val="20"/>
          <w:lang w:val="es-EC"/>
        </w:rPr>
      </w:pPr>
      <w:r>
        <w:rPr>
          <w:rFonts w:eastAsia="Times New Roman" w:asciiTheme="minorHAnsi" w:hAnsiTheme="minorHAnsi" w:cstheme="minorHAnsi"/>
          <w:bCs/>
          <w:sz w:val="20"/>
          <w:szCs w:val="20"/>
          <w:lang w:val="es-EC"/>
        </w:rPr>
        <w:t>emitir una amonestación a la firma, entidad o individuo en el formato de una carta formal de censura por su conducta;</w:t>
      </w:r>
    </w:p>
    <w:p>
      <w:pPr>
        <w:widowControl w:val="0"/>
        <w:numPr>
          <w:ilvl w:val="0"/>
          <w:numId w:val="105"/>
        </w:numPr>
        <w:suppressAutoHyphens/>
        <w:overflowPunct w:val="0"/>
        <w:autoSpaceDE w:val="0"/>
        <w:autoSpaceDN w:val="0"/>
        <w:adjustRightInd w:val="0"/>
        <w:spacing w:before="120" w:after="120" w:line="240" w:lineRule="auto"/>
        <w:ind w:left="1080" w:hanging="540"/>
        <w:jc w:val="both"/>
        <w:textAlignment w:val="baseline"/>
        <w:rPr>
          <w:rFonts w:eastAsia="Times New Roman" w:asciiTheme="minorHAnsi" w:hAnsiTheme="minorHAnsi" w:cstheme="minorHAnsi"/>
          <w:bCs/>
          <w:sz w:val="20"/>
          <w:szCs w:val="20"/>
          <w:lang w:val="es-EC"/>
        </w:rPr>
      </w:pPr>
      <w:r>
        <w:rPr>
          <w:rFonts w:eastAsia="Times New Roman" w:asciiTheme="minorHAnsi" w:hAnsiTheme="minorHAnsi" w:cstheme="minorHAnsi"/>
          <w:bCs/>
          <w:sz w:val="20"/>
          <w:szCs w:val="20"/>
          <w:lang w:val="es-EC"/>
        </w:rPr>
        <w:t>declarar a una firma, entidad o individuo inelegible,  en forma permanente o por determinado período de tiempo, para que (i) se le adjudiquen contratos o participe en actividades financiadas por el Banco, y (ii) sea designado</w:t>
      </w:r>
      <w:r>
        <w:rPr>
          <w:rStyle w:val="43"/>
          <w:rFonts w:eastAsia="Times New Roman" w:asciiTheme="minorHAnsi" w:hAnsiTheme="minorHAnsi" w:cstheme="minorHAnsi"/>
          <w:bCs/>
          <w:sz w:val="20"/>
          <w:szCs w:val="20"/>
          <w:lang w:val="es-EC"/>
        </w:rPr>
        <w:footnoteReference w:id="5"/>
      </w:r>
      <w:r>
        <w:rPr>
          <w:rFonts w:eastAsia="Times New Roman" w:asciiTheme="minorHAnsi" w:hAnsiTheme="minorHAnsi" w:cstheme="minorHAnsi"/>
          <w:bCs/>
          <w:sz w:val="20"/>
          <w:szCs w:val="20"/>
          <w:lang w:val="es-EC"/>
        </w:rPr>
        <w:t xml:space="preserve">subconsultor, subcontratista o proveedor de bienes o servicios por otra firma elegible a la que se adjudique un contrato para ejecutar actividades financiadas por el Banco; </w:t>
      </w:r>
    </w:p>
    <w:p>
      <w:pPr>
        <w:widowControl w:val="0"/>
        <w:numPr>
          <w:ilvl w:val="0"/>
          <w:numId w:val="105"/>
        </w:numPr>
        <w:suppressAutoHyphens/>
        <w:overflowPunct w:val="0"/>
        <w:autoSpaceDE w:val="0"/>
        <w:autoSpaceDN w:val="0"/>
        <w:adjustRightInd w:val="0"/>
        <w:spacing w:before="120" w:after="120" w:line="240" w:lineRule="auto"/>
        <w:ind w:left="1080" w:hanging="540"/>
        <w:jc w:val="both"/>
        <w:textAlignment w:val="baseline"/>
        <w:rPr>
          <w:rFonts w:eastAsia="Times New Roman" w:asciiTheme="minorHAnsi" w:hAnsiTheme="minorHAnsi" w:cstheme="minorHAnsi"/>
          <w:bCs/>
          <w:sz w:val="20"/>
          <w:szCs w:val="20"/>
          <w:lang w:val="es-EC"/>
        </w:rPr>
      </w:pPr>
      <w:r>
        <w:rPr>
          <w:rFonts w:eastAsia="Times New Roman" w:asciiTheme="minorHAnsi" w:hAnsiTheme="minorHAnsi" w:cstheme="minorHAnsi"/>
          <w:bCs/>
          <w:sz w:val="20"/>
          <w:szCs w:val="20"/>
          <w:lang w:val="es-EC"/>
        </w:rPr>
        <w:t>remitir el tema a las autoridades pertinentes encargadas de hacer cumplir las leyes; y/o;</w:t>
      </w:r>
    </w:p>
    <w:p>
      <w:pPr>
        <w:widowControl w:val="0"/>
        <w:numPr>
          <w:ilvl w:val="0"/>
          <w:numId w:val="105"/>
        </w:numPr>
        <w:suppressAutoHyphens/>
        <w:overflowPunct w:val="0"/>
        <w:autoSpaceDE w:val="0"/>
        <w:autoSpaceDN w:val="0"/>
        <w:adjustRightInd w:val="0"/>
        <w:spacing w:before="120" w:after="120" w:line="240" w:lineRule="auto"/>
        <w:ind w:left="1080" w:hanging="540"/>
        <w:jc w:val="both"/>
        <w:textAlignment w:val="baseline"/>
        <w:rPr>
          <w:rFonts w:eastAsia="Times New Roman" w:asciiTheme="minorHAnsi" w:hAnsiTheme="minorHAnsi" w:cstheme="minorHAnsi"/>
          <w:iCs/>
          <w:sz w:val="20"/>
          <w:szCs w:val="20"/>
          <w:lang w:val="es-EC"/>
        </w:rPr>
      </w:pPr>
      <w:r>
        <w:rPr>
          <w:rFonts w:eastAsia="Times New Roman" w:asciiTheme="minorHAnsi" w:hAnsiTheme="minorHAnsi" w:cstheme="minorHAnsi"/>
          <w:bCs/>
          <w:sz w:val="20"/>
          <w:szCs w:val="20"/>
          <w:lang w:val="es-EC"/>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Pr>
          <w:rFonts w:eastAsia="Times New Roman" w:asciiTheme="minorHAnsi" w:hAnsiTheme="minorHAnsi" w:cstheme="minorHAnsi"/>
          <w:iCs/>
          <w:sz w:val="20"/>
          <w:szCs w:val="20"/>
          <w:lang w:val="es-EC"/>
        </w:rPr>
        <w:t>.</w:t>
      </w:r>
    </w:p>
    <w:p>
      <w:pPr>
        <w:widowControl w:val="0"/>
        <w:numPr>
          <w:ilvl w:val="0"/>
          <w:numId w:val="102"/>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Pr>
          <w:rFonts w:eastAsia="Times New Roman" w:asciiTheme="minorHAnsi" w:hAnsiTheme="minorHAnsi" w:cstheme="minorHAnsi"/>
          <w:sz w:val="20"/>
          <w:szCs w:val="20"/>
          <w:lang w:val="es-EC"/>
        </w:rPr>
        <w:t>.</w:t>
      </w:r>
    </w:p>
    <w:p>
      <w:pPr>
        <w:widowControl w:val="0"/>
        <w:numPr>
          <w:ilvl w:val="0"/>
          <w:numId w:val="102"/>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La imposición de cualquier medida que sea tomada por el Banco de conformidad con las provisiones referidas anteriormente será de carácter público</w:t>
      </w:r>
      <w:r>
        <w:rPr>
          <w:rFonts w:eastAsia="Times New Roman" w:asciiTheme="minorHAnsi" w:hAnsiTheme="minorHAnsi" w:cstheme="minorHAnsi"/>
          <w:sz w:val="20"/>
          <w:szCs w:val="20"/>
          <w:lang w:val="es-EC"/>
        </w:rPr>
        <w:t>.</w:t>
      </w:r>
    </w:p>
    <w:p>
      <w:pPr>
        <w:widowControl w:val="0"/>
        <w:numPr>
          <w:ilvl w:val="0"/>
          <w:numId w:val="102"/>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Pr>
          <w:rFonts w:eastAsia="Times New Roman" w:asciiTheme="minorHAnsi" w:hAnsiTheme="minorHAnsi" w:cstheme="minorHAnsi"/>
          <w:sz w:val="20"/>
          <w:szCs w:val="20"/>
          <w:lang w:val="es-EC"/>
        </w:rPr>
        <w:t>.</w:t>
      </w:r>
    </w:p>
    <w:p>
      <w:pPr>
        <w:widowControl w:val="0"/>
        <w:numPr>
          <w:ilvl w:val="0"/>
          <w:numId w:val="102"/>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Pr>
          <w:rFonts w:eastAsia="Times New Roman" w:asciiTheme="minorHAnsi" w:hAnsiTheme="minorHAnsi" w:cstheme="minorHAnsi"/>
          <w:sz w:val="20"/>
          <w:szCs w:val="20"/>
          <w:lang w:val="es-EC"/>
        </w:rPr>
        <w:t>.</w:t>
      </w:r>
    </w:p>
    <w:p>
      <w:pPr>
        <w:widowControl w:val="0"/>
        <w:numPr>
          <w:ilvl w:val="0"/>
          <w:numId w:val="102"/>
        </w:numPr>
        <w:suppressAutoHyphens/>
        <w:autoSpaceDE w:val="0"/>
        <w:autoSpaceDN w:val="0"/>
        <w:adjustRightInd w:val="0"/>
        <w:spacing w:before="120" w:after="120" w:line="240" w:lineRule="auto"/>
        <w:ind w:hanging="540"/>
        <w:jc w:val="both"/>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Pr>
          <w:rFonts w:eastAsia="Times New Roman" w:asciiTheme="minorHAnsi" w:hAnsiTheme="minorHAnsi" w:cstheme="minorHAnsi"/>
          <w:sz w:val="20"/>
          <w:szCs w:val="20"/>
          <w:lang w:val="es-EC"/>
        </w:rPr>
        <w:t xml:space="preserve">. </w:t>
      </w:r>
    </w:p>
    <w:p>
      <w:pPr>
        <w:numPr>
          <w:ilvl w:val="1"/>
          <w:numId w:val="101"/>
        </w:numPr>
        <w:suppressAutoHyphens/>
        <w:overflowPunct w:val="0"/>
        <w:autoSpaceDE w:val="0"/>
        <w:autoSpaceDN w:val="0"/>
        <w:adjustRightInd w:val="0"/>
        <w:spacing w:before="120" w:after="120" w:line="240" w:lineRule="auto"/>
        <w:ind w:left="0" w:firstLine="18"/>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Los Consultores declaran y garantizan</w:t>
      </w:r>
      <w:r>
        <w:rPr>
          <w:rFonts w:eastAsia="Times New Roman" w:asciiTheme="minorHAnsi" w:hAnsiTheme="minorHAnsi" w:cstheme="minorHAnsi"/>
          <w:sz w:val="20"/>
          <w:szCs w:val="20"/>
          <w:lang w:val="es-EC"/>
        </w:rPr>
        <w:t>:</w:t>
      </w:r>
    </w:p>
    <w:p>
      <w:pPr>
        <w:widowControl w:val="0"/>
        <w:numPr>
          <w:ilvl w:val="0"/>
          <w:numId w:val="106"/>
        </w:numPr>
        <w:suppressAutoHyphens/>
        <w:overflowPunct w:val="0"/>
        <w:autoSpaceDE w:val="0"/>
        <w:autoSpaceDN w:val="0"/>
        <w:adjustRightInd w:val="0"/>
        <w:spacing w:before="120" w:after="120" w:line="240" w:lineRule="auto"/>
        <w:ind w:left="1260" w:hanging="540"/>
        <w:jc w:val="both"/>
        <w:textAlignment w:val="baseline"/>
        <w:rPr>
          <w:rFonts w:eastAsia="Times New Roman" w:asciiTheme="minorHAnsi" w:hAnsiTheme="minorHAnsi" w:cstheme="minorHAnsi"/>
          <w:iCs/>
          <w:sz w:val="20"/>
          <w:szCs w:val="20"/>
          <w:lang w:val="es-EC"/>
        </w:rPr>
      </w:pPr>
      <w:r>
        <w:rPr>
          <w:rFonts w:eastAsia="Times New Roman" w:asciiTheme="minorHAnsi" w:hAnsiTheme="minorHAnsi" w:cstheme="minorHAnsi"/>
          <w:bCs/>
          <w:iCs/>
          <w:sz w:val="20"/>
          <w:szCs w:val="20"/>
          <w:lang w:val="es-EC"/>
        </w:rPr>
        <w:t>que han leído y entendido las definiciones de Prácticas Prohibidas del Banco  y las sanciones aplicables a la comisión de las mismas que constan de este documento y se obligan a observar las normas pertinentes sobre las mismas</w:t>
      </w:r>
      <w:r>
        <w:rPr>
          <w:rFonts w:eastAsia="Times New Roman" w:asciiTheme="minorHAnsi" w:hAnsiTheme="minorHAnsi" w:cstheme="minorHAnsi"/>
          <w:iCs/>
          <w:sz w:val="20"/>
          <w:szCs w:val="20"/>
          <w:lang w:val="es-EC"/>
        </w:rPr>
        <w:t>;</w:t>
      </w:r>
    </w:p>
    <w:p>
      <w:pPr>
        <w:widowControl w:val="0"/>
        <w:numPr>
          <w:ilvl w:val="0"/>
          <w:numId w:val="106"/>
        </w:numPr>
        <w:suppressAutoHyphens/>
        <w:overflowPunct w:val="0"/>
        <w:autoSpaceDE w:val="0"/>
        <w:autoSpaceDN w:val="0"/>
        <w:adjustRightInd w:val="0"/>
        <w:spacing w:before="120" w:after="120" w:line="240" w:lineRule="auto"/>
        <w:ind w:left="126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que no han incurrido en ninguna Práctica Prohibida descrita en este documento</w:t>
      </w:r>
      <w:r>
        <w:rPr>
          <w:rFonts w:eastAsia="Times New Roman" w:asciiTheme="minorHAnsi" w:hAnsiTheme="minorHAnsi" w:cstheme="minorHAnsi"/>
          <w:sz w:val="20"/>
          <w:szCs w:val="20"/>
          <w:lang w:val="es-EC"/>
        </w:rPr>
        <w:t>;</w:t>
      </w:r>
    </w:p>
    <w:p>
      <w:pPr>
        <w:widowControl w:val="0"/>
        <w:numPr>
          <w:ilvl w:val="0"/>
          <w:numId w:val="106"/>
        </w:numPr>
        <w:suppressAutoHyphens/>
        <w:overflowPunct w:val="0"/>
        <w:autoSpaceDE w:val="0"/>
        <w:autoSpaceDN w:val="0"/>
        <w:adjustRightInd w:val="0"/>
        <w:spacing w:before="120" w:after="120" w:line="240" w:lineRule="auto"/>
        <w:ind w:left="126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que no han tergiversado ni ocultado ningún hecho sustancial durante los procesos de selección, negociación, adjudicación o ejecución de un contrato</w:t>
      </w:r>
      <w:r>
        <w:rPr>
          <w:rFonts w:eastAsia="Times New Roman" w:asciiTheme="minorHAnsi" w:hAnsiTheme="minorHAnsi" w:cstheme="minorHAnsi"/>
          <w:sz w:val="20"/>
          <w:szCs w:val="20"/>
          <w:lang w:val="es-EC"/>
        </w:rPr>
        <w:t>;</w:t>
      </w:r>
    </w:p>
    <w:p>
      <w:pPr>
        <w:widowControl w:val="0"/>
        <w:numPr>
          <w:ilvl w:val="0"/>
          <w:numId w:val="106"/>
        </w:numPr>
        <w:suppressAutoHyphens/>
        <w:overflowPunct w:val="0"/>
        <w:autoSpaceDE w:val="0"/>
        <w:autoSpaceDN w:val="0"/>
        <w:adjustRightInd w:val="0"/>
        <w:spacing w:before="120" w:after="120" w:line="240" w:lineRule="auto"/>
        <w:ind w:left="126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Pr>
          <w:rFonts w:eastAsia="Times New Roman" w:asciiTheme="minorHAnsi" w:hAnsiTheme="minorHAnsi" w:cstheme="minorHAnsi"/>
          <w:sz w:val="20"/>
          <w:szCs w:val="20"/>
          <w:lang w:val="es-EC"/>
        </w:rPr>
        <w:t>;</w:t>
      </w:r>
    </w:p>
    <w:p>
      <w:pPr>
        <w:widowControl w:val="0"/>
        <w:numPr>
          <w:ilvl w:val="0"/>
          <w:numId w:val="106"/>
        </w:numPr>
        <w:suppressAutoHyphens/>
        <w:overflowPunct w:val="0"/>
        <w:autoSpaceDE w:val="0"/>
        <w:autoSpaceDN w:val="0"/>
        <w:adjustRightInd w:val="0"/>
        <w:spacing w:before="120" w:after="120" w:line="240" w:lineRule="auto"/>
        <w:ind w:left="126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Pr>
          <w:rFonts w:eastAsia="Times New Roman" w:asciiTheme="minorHAnsi" w:hAnsiTheme="minorHAnsi" w:cstheme="minorHAnsi"/>
          <w:sz w:val="20"/>
          <w:szCs w:val="20"/>
          <w:lang w:val="es-EC"/>
        </w:rPr>
        <w:t>;</w:t>
      </w:r>
    </w:p>
    <w:p>
      <w:pPr>
        <w:widowControl w:val="0"/>
        <w:numPr>
          <w:ilvl w:val="0"/>
          <w:numId w:val="106"/>
        </w:numPr>
        <w:suppressAutoHyphens/>
        <w:overflowPunct w:val="0"/>
        <w:autoSpaceDE w:val="0"/>
        <w:autoSpaceDN w:val="0"/>
        <w:adjustRightInd w:val="0"/>
        <w:spacing w:before="120" w:after="120" w:line="240" w:lineRule="auto"/>
        <w:ind w:left="1260" w:hanging="540"/>
        <w:jc w:val="both"/>
        <w:textAlignment w:val="baseline"/>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que han declarado todas las comisiones, honorarios de representantes, pagos por servicios de facilitación o acuerdos para compartir ingresos relacionados con actividades financiadas por el Banco</w:t>
      </w:r>
      <w:r>
        <w:rPr>
          <w:rFonts w:eastAsia="Times New Roman" w:asciiTheme="minorHAnsi" w:hAnsiTheme="minorHAnsi" w:cstheme="minorHAnsi"/>
          <w:sz w:val="20"/>
          <w:szCs w:val="20"/>
          <w:lang w:val="es-EC"/>
        </w:rPr>
        <w:t>;</w:t>
      </w:r>
    </w:p>
    <w:p>
      <w:pPr>
        <w:widowControl w:val="0"/>
        <w:numPr>
          <w:ilvl w:val="0"/>
          <w:numId w:val="106"/>
        </w:numPr>
        <w:suppressAutoHyphens/>
        <w:overflowPunct w:val="0"/>
        <w:autoSpaceDE w:val="0"/>
        <w:autoSpaceDN w:val="0"/>
        <w:adjustRightInd w:val="0"/>
        <w:spacing w:before="120" w:after="120" w:line="240" w:lineRule="auto"/>
        <w:ind w:left="1260" w:hanging="540"/>
        <w:jc w:val="both"/>
        <w:textAlignment w:val="baseline"/>
        <w:rPr>
          <w:rFonts w:eastAsia="Times New Roman" w:asciiTheme="minorHAnsi" w:hAnsiTheme="minorHAnsi" w:cstheme="minorHAnsi"/>
          <w:iCs/>
          <w:sz w:val="20"/>
          <w:szCs w:val="20"/>
          <w:lang w:val="es-EC"/>
        </w:rPr>
      </w:pPr>
      <w:r>
        <w:rPr>
          <w:rFonts w:eastAsia="Times New Roman" w:asciiTheme="minorHAnsi" w:hAnsiTheme="minorHAnsi" w:cstheme="minorHAnsi"/>
          <w:bCs/>
          <w:sz w:val="20"/>
          <w:szCs w:val="20"/>
          <w:lang w:val="es-EC"/>
        </w:rPr>
        <w:t>que reconocen que el incumplimiento de cualquiera de estas garantías constituye el fundamento para la imposición por el Banco de una o más de las medidas que se describen en la Cláusula 1.1 (b)</w:t>
      </w:r>
      <w:r>
        <w:rPr>
          <w:rFonts w:eastAsia="Times New Roman" w:asciiTheme="minorHAnsi" w:hAnsiTheme="minorHAnsi" w:cstheme="minorHAnsi"/>
          <w:iCs/>
          <w:sz w:val="20"/>
          <w:szCs w:val="20"/>
          <w:lang w:val="es-EC"/>
        </w:rPr>
        <w:t>.</w:t>
      </w:r>
    </w:p>
    <w:p>
      <w:pPr>
        <w:spacing w:before="60" w:after="60" w:line="240" w:lineRule="auto"/>
        <w:jc w:val="both"/>
        <w:rPr>
          <w:rFonts w:asciiTheme="minorHAnsi" w:hAnsiTheme="minorHAnsi" w:cstheme="minorHAnsi"/>
          <w:sz w:val="20"/>
          <w:szCs w:val="20"/>
          <w:lang w:val="es-EC"/>
        </w:rPr>
        <w:sectPr>
          <w:headerReference r:id="rId12" w:type="default"/>
          <w:pgSz w:w="12240" w:h="15840"/>
          <w:pgMar w:top="1440" w:right="1440" w:bottom="1440" w:left="1440" w:header="720" w:footer="720" w:gutter="0"/>
          <w:cols w:space="720" w:num="1"/>
          <w:docGrid w:linePitch="360" w:charSpace="0"/>
        </w:sectPr>
      </w:pPr>
    </w:p>
    <w:p>
      <w:pPr>
        <w:pStyle w:val="2"/>
        <w:jc w:val="center"/>
        <w:rPr>
          <w:rFonts w:asciiTheme="minorHAnsi" w:hAnsiTheme="minorHAnsi" w:cstheme="minorHAnsi"/>
          <w:color w:val="auto"/>
          <w:sz w:val="20"/>
          <w:szCs w:val="20"/>
          <w:lang w:val="es-EC"/>
        </w:rPr>
      </w:pPr>
    </w:p>
    <w:p>
      <w:pPr>
        <w:pStyle w:val="2"/>
        <w:jc w:val="center"/>
        <w:rPr>
          <w:rFonts w:asciiTheme="minorHAnsi" w:hAnsiTheme="minorHAnsi" w:cstheme="minorHAnsi"/>
          <w:color w:val="auto"/>
          <w:sz w:val="20"/>
          <w:szCs w:val="20"/>
          <w:lang w:val="es-EC"/>
        </w:rPr>
      </w:pPr>
    </w:p>
    <w:p>
      <w:pPr>
        <w:pStyle w:val="2"/>
        <w:jc w:val="center"/>
        <w:rPr>
          <w:rFonts w:asciiTheme="minorHAnsi" w:hAnsiTheme="minorHAnsi" w:cstheme="minorHAnsi"/>
          <w:color w:val="auto"/>
          <w:sz w:val="20"/>
          <w:szCs w:val="20"/>
          <w:lang w:val="es-EC"/>
        </w:rPr>
      </w:pPr>
    </w:p>
    <w:p>
      <w:pPr>
        <w:rPr>
          <w:rFonts w:asciiTheme="minorHAnsi" w:hAnsiTheme="minorHAnsi" w:cstheme="minorHAnsi"/>
          <w:sz w:val="20"/>
          <w:szCs w:val="20"/>
          <w:lang w:val="es-EC"/>
        </w:rPr>
      </w:pPr>
    </w:p>
    <w:p>
      <w:pPr>
        <w:pStyle w:val="2"/>
        <w:jc w:val="center"/>
        <w:rPr>
          <w:rFonts w:asciiTheme="minorHAnsi" w:hAnsiTheme="minorHAnsi" w:cstheme="minorHAnsi"/>
          <w:color w:val="auto"/>
          <w:sz w:val="20"/>
          <w:szCs w:val="20"/>
          <w:lang w:val="es-EC"/>
        </w:rPr>
      </w:pPr>
      <w:bookmarkStart w:id="333" w:name="_Toc478103483"/>
    </w:p>
    <w:p>
      <w:pPr>
        <w:pStyle w:val="2"/>
        <w:jc w:val="center"/>
        <w:rPr>
          <w:rFonts w:asciiTheme="minorHAnsi" w:hAnsiTheme="minorHAnsi" w:cstheme="minorHAnsi"/>
          <w:color w:val="auto"/>
          <w:sz w:val="20"/>
          <w:szCs w:val="20"/>
          <w:lang w:val="es-EC"/>
        </w:rPr>
      </w:pPr>
    </w:p>
    <w:p>
      <w:pPr>
        <w:pStyle w:val="2"/>
        <w:jc w:val="center"/>
        <w:rPr>
          <w:rFonts w:asciiTheme="minorHAnsi" w:hAnsiTheme="minorHAnsi" w:cstheme="minorHAnsi"/>
          <w:color w:val="auto"/>
          <w:sz w:val="20"/>
          <w:szCs w:val="20"/>
          <w:lang w:val="es-EC"/>
        </w:rPr>
      </w:pPr>
    </w:p>
    <w:p>
      <w:pPr>
        <w:pStyle w:val="2"/>
        <w:jc w:val="center"/>
        <w:rPr>
          <w:rFonts w:asciiTheme="minorHAnsi" w:hAnsiTheme="minorHAnsi" w:cstheme="minorHAnsi"/>
          <w:color w:val="auto"/>
          <w:sz w:val="20"/>
          <w:szCs w:val="20"/>
          <w:lang w:val="es-EC"/>
        </w:rPr>
      </w:pPr>
      <w:r>
        <w:rPr>
          <w:rFonts w:asciiTheme="minorHAnsi" w:hAnsiTheme="minorHAnsi" w:cstheme="minorHAnsi"/>
          <w:color w:val="auto"/>
          <w:sz w:val="20"/>
          <w:szCs w:val="20"/>
          <w:lang w:val="es-EC"/>
        </w:rPr>
        <w:t>PARTE II. REQUISITOS DE LOS BIENES Y SERVICIOS</w:t>
      </w:r>
      <w:bookmarkEnd w:id="333"/>
    </w:p>
    <w:p>
      <w:pPr>
        <w:pStyle w:val="3"/>
        <w:jc w:val="center"/>
        <w:rPr>
          <w:rFonts w:asciiTheme="minorHAnsi" w:hAnsiTheme="minorHAnsi" w:cstheme="minorHAnsi"/>
          <w:color w:val="auto"/>
          <w:sz w:val="20"/>
          <w:szCs w:val="20"/>
          <w:lang w:val="es-EC"/>
        </w:rPr>
      </w:pPr>
      <w:bookmarkStart w:id="334" w:name="_Toc478103484"/>
      <w:r>
        <w:rPr>
          <w:rFonts w:asciiTheme="minorHAnsi" w:hAnsiTheme="minorHAnsi" w:cstheme="minorHAnsi"/>
          <w:color w:val="auto"/>
          <w:sz w:val="20"/>
          <w:szCs w:val="20"/>
          <w:lang w:val="es-EC"/>
        </w:rPr>
        <w:t>SECCIÓN VII. LISTA DE REQUISITOS</w:t>
      </w:r>
      <w:bookmarkEnd w:id="334"/>
    </w:p>
    <w:p>
      <w:pPr>
        <w:jc w:val="both"/>
        <w:rPr>
          <w:rFonts w:asciiTheme="minorHAnsi" w:hAnsiTheme="minorHAnsi" w:cstheme="minorHAnsi"/>
          <w:b/>
          <w:sz w:val="20"/>
          <w:szCs w:val="20"/>
          <w:lang w:val="es-EC"/>
        </w:rPr>
      </w:pPr>
      <w:bookmarkStart w:id="335" w:name="_Toc340548648"/>
    </w:p>
    <w:bookmarkEnd w:id="335"/>
    <w:p>
      <w:pPr>
        <w:spacing w:line="240" w:lineRule="auto"/>
        <w:jc w:val="both"/>
        <w:rPr>
          <w:rFonts w:asciiTheme="minorHAnsi" w:hAnsiTheme="minorHAnsi" w:cstheme="minorHAnsi"/>
          <w:i/>
          <w:sz w:val="20"/>
          <w:szCs w:val="20"/>
          <w:lang w:val="es-EC"/>
        </w:rPr>
      </w:pPr>
    </w:p>
    <w:p>
      <w:pPr>
        <w:spacing w:line="240" w:lineRule="auto"/>
        <w:rPr>
          <w:rFonts w:asciiTheme="minorHAnsi" w:hAnsiTheme="minorHAnsi" w:cstheme="minorHAnsi"/>
          <w:b/>
          <w:i/>
          <w:sz w:val="20"/>
          <w:szCs w:val="20"/>
          <w:lang w:val="es-EC"/>
        </w:rPr>
        <w:sectPr>
          <w:headerReference r:id="rId13" w:type="default"/>
          <w:pgSz w:w="12240" w:h="15840"/>
          <w:pgMar w:top="1440" w:right="1440" w:bottom="1440" w:left="1440" w:header="720" w:footer="720" w:gutter="0"/>
          <w:cols w:space="720" w:num="1"/>
          <w:docGrid w:linePitch="360" w:charSpace="0"/>
        </w:sect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bookmarkStart w:id="336" w:name="_Toc478103485"/>
      <w:bookmarkStart w:id="337" w:name="_Toc317173268"/>
      <w:bookmarkStart w:id="338" w:name="_Toc106182901"/>
      <w:r>
        <w:rPr>
          <w:rFonts w:eastAsia="Times New Roman" w:asciiTheme="minorHAnsi" w:hAnsiTheme="minorHAnsi" w:cstheme="minorHAnsi"/>
          <w:b/>
          <w:bCs/>
          <w:sz w:val="20"/>
          <w:szCs w:val="20"/>
          <w:lang w:val="es-EC"/>
        </w:rPr>
        <w:t>Lista de Bienes y Plan de Entrega</w:t>
      </w:r>
      <w:bookmarkEnd w:id="336"/>
      <w:bookmarkEnd w:id="337"/>
      <w:bookmarkEnd w:id="338"/>
    </w:p>
    <w:p>
      <w:pPr>
        <w:rPr>
          <w:rFonts w:eastAsia="Times New Roman" w:asciiTheme="minorHAnsi" w:hAnsiTheme="minorHAnsi" w:cstheme="minorHAnsi"/>
          <w:i/>
          <w:iCs/>
          <w:sz w:val="20"/>
          <w:szCs w:val="20"/>
          <w:lang w:val="es-EC"/>
        </w:rPr>
      </w:pPr>
      <w:r>
        <w:rPr>
          <w:rFonts w:eastAsia="Times New Roman" w:asciiTheme="minorHAnsi" w:hAnsiTheme="minorHAnsi" w:cstheme="minorHAnsi"/>
          <w:i/>
          <w:iCs/>
          <w:sz w:val="20"/>
          <w:szCs w:val="20"/>
          <w:lang w:val="es-EC"/>
        </w:rPr>
        <w:t>[El comprador completará este cuadro, excepto por la columna “Fecha de entrega ofrecida por el Oferente” la cual será completada por el Oferente]</w:t>
      </w:r>
    </w:p>
    <w:p>
      <w:pPr>
        <w:autoSpaceDE w:val="0"/>
        <w:autoSpaceDN w:val="0"/>
        <w:adjustRightInd w:val="0"/>
        <w:spacing w:after="0" w:line="240" w:lineRule="auto"/>
        <w:jc w:val="both"/>
        <w:rPr>
          <w:rFonts w:asciiTheme="minorHAnsi" w:hAnsiTheme="minorHAnsi" w:cstheme="minorHAnsi"/>
          <w:b/>
          <w:sz w:val="20"/>
          <w:szCs w:val="20"/>
          <w:lang w:val="es-EC" w:eastAsia="es-EC"/>
        </w:rPr>
      </w:pPr>
      <w:r>
        <w:rPr>
          <w:rFonts w:asciiTheme="minorHAnsi" w:hAnsiTheme="minorHAnsi" w:cstheme="minorHAnsi"/>
          <w:b/>
          <w:sz w:val="20"/>
          <w:szCs w:val="20"/>
          <w:lang w:val="es-EC" w:eastAsia="es-EC"/>
        </w:rPr>
        <w:t xml:space="preserve">LOTE NRO. 1: ZONA 1 (HOSPITAL LUIS G. DÁVILA Y HOSPITAL SAN VICENTE DE PAÚL) </w:t>
      </w:r>
    </w:p>
    <w:p>
      <w:pPr>
        <w:autoSpaceDE w:val="0"/>
        <w:autoSpaceDN w:val="0"/>
        <w:adjustRightInd w:val="0"/>
        <w:spacing w:after="0" w:line="240" w:lineRule="auto"/>
        <w:jc w:val="both"/>
        <w:rPr>
          <w:rFonts w:asciiTheme="minorHAnsi" w:hAnsiTheme="minorHAnsi" w:cstheme="minorHAnsi"/>
          <w:b/>
          <w:sz w:val="20"/>
          <w:szCs w:val="20"/>
          <w:lang w:val="es-EC" w:eastAsia="es-EC"/>
        </w:rPr>
      </w:pPr>
    </w:p>
    <w:tbl>
      <w:tblPr>
        <w:tblStyle w:val="46"/>
        <w:tblW w:w="13100" w:type="dxa"/>
        <w:jc w:val="center"/>
        <w:tblInd w:w="0" w:type="dxa"/>
        <w:tblLayout w:type="fixed"/>
        <w:tblCellMar>
          <w:top w:w="0" w:type="dxa"/>
          <w:left w:w="70" w:type="dxa"/>
          <w:bottom w:w="0" w:type="dxa"/>
          <w:right w:w="70" w:type="dxa"/>
        </w:tblCellMar>
      </w:tblPr>
      <w:tblGrid>
        <w:gridCol w:w="992"/>
        <w:gridCol w:w="3531"/>
        <w:gridCol w:w="1043"/>
        <w:gridCol w:w="863"/>
        <w:gridCol w:w="1831"/>
        <w:gridCol w:w="1394"/>
        <w:gridCol w:w="1107"/>
        <w:gridCol w:w="2339"/>
      </w:tblGrid>
      <w:tr>
        <w:tblPrEx>
          <w:tblLayout w:type="fixed"/>
          <w:tblCellMar>
            <w:top w:w="0" w:type="dxa"/>
            <w:left w:w="70" w:type="dxa"/>
            <w:bottom w:w="0" w:type="dxa"/>
            <w:right w:w="70" w:type="dxa"/>
          </w:tblCellMar>
        </w:tblPrEx>
        <w:trPr>
          <w:trHeight w:val="360" w:hRule="atLeast"/>
          <w:jc w:val="center"/>
        </w:trPr>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N° de artículo</w:t>
            </w:r>
          </w:p>
        </w:tc>
        <w:tc>
          <w:tcPr>
            <w:tcW w:w="35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Descripción del bien</w:t>
            </w:r>
          </w:p>
        </w:tc>
        <w:tc>
          <w:tcPr>
            <w:tcW w:w="10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Cantidad total</w:t>
            </w:r>
          </w:p>
        </w:tc>
        <w:tc>
          <w:tcPr>
            <w:tcW w:w="8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Unidad física</w:t>
            </w:r>
          </w:p>
        </w:tc>
        <w:tc>
          <w:tcPr>
            <w:tcW w:w="18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Lugar de destino convenido según se indica en los DDL</w:t>
            </w:r>
          </w:p>
        </w:tc>
        <w:tc>
          <w:tcPr>
            <w:tcW w:w="4840" w:type="dxa"/>
            <w:gridSpan w:val="3"/>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de Entrega</w:t>
            </w:r>
          </w:p>
        </w:tc>
      </w:tr>
      <w:tr>
        <w:tblPrEx>
          <w:tblLayout w:type="fixed"/>
          <w:tblCellMar>
            <w:top w:w="0" w:type="dxa"/>
            <w:left w:w="70" w:type="dxa"/>
            <w:bottom w:w="0" w:type="dxa"/>
            <w:right w:w="70" w:type="dxa"/>
          </w:tblCellMar>
        </w:tblPrEx>
        <w:trPr>
          <w:trHeight w:val="1275" w:hRule="atLeast"/>
          <w:jc w:val="center"/>
        </w:trPr>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35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10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8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18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139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más temprana de entrega</w:t>
            </w:r>
          </w:p>
        </w:tc>
        <w:tc>
          <w:tcPr>
            <w:tcW w:w="110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de entrega</w:t>
            </w:r>
          </w:p>
        </w:tc>
        <w:tc>
          <w:tcPr>
            <w:tcW w:w="233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de entrega ofrecida por el Oferente [a ser especificada por el Oferente]</w:t>
            </w:r>
          </w:p>
        </w:tc>
      </w:tr>
      <w:tr>
        <w:tblPrEx>
          <w:tblLayout w:type="fixed"/>
          <w:tblCellMar>
            <w:top w:w="0" w:type="dxa"/>
            <w:left w:w="70" w:type="dxa"/>
            <w:bottom w:w="0" w:type="dxa"/>
            <w:right w:w="70" w:type="dxa"/>
          </w:tblCellMar>
        </w:tblPrEx>
        <w:trPr>
          <w:trHeight w:val="1090" w:hRule="atLeast"/>
          <w:jc w:val="center"/>
        </w:trPr>
        <w:tc>
          <w:tcPr>
            <w:tcW w:w="99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3531" w:type="dxa"/>
            <w:vMerge w:val="restart"/>
            <w:tcBorders>
              <w:top w:val="nil"/>
              <w:left w:val="single" w:color="auto" w:sz="4" w:space="0"/>
              <w:bottom w:val="nil"/>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LAMPARA DE FOTOTERAPIA</w:t>
            </w:r>
          </w:p>
          <w:p>
            <w:pPr>
              <w:spacing w:after="0" w:line="240" w:lineRule="auto"/>
              <w:jc w:val="center"/>
              <w:rPr>
                <w:rFonts w:eastAsia="Times New Roman" w:asciiTheme="minorHAnsi" w:hAnsiTheme="minorHAnsi" w:cstheme="minorHAnsi"/>
                <w:color w:val="92D050"/>
                <w:sz w:val="18"/>
                <w:szCs w:val="18"/>
                <w:lang w:val="es-EC" w:eastAsia="es-EC"/>
              </w:rPr>
            </w:pPr>
            <w:r>
              <w:rPr>
                <w:rFonts w:eastAsia="Times New Roman" w:asciiTheme="minorHAnsi" w:hAnsiTheme="minorHAnsi" w:cstheme="minorHAnsi"/>
                <w:color w:val="000000"/>
                <w:sz w:val="18"/>
                <w:szCs w:val="18"/>
                <w:lang w:val="es-EC" w:eastAsia="es-EC"/>
              </w:rPr>
              <w:t>LÁM-01-R07</w:t>
            </w: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San Vicente de Paúl</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35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 xml:space="preserve">INCUBADORA </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INC-01-R07</w:t>
            </w:r>
          </w:p>
        </w:tc>
        <w:tc>
          <w:tcPr>
            <w:tcW w:w="104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86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90 días a partir del anticipo</w:t>
            </w:r>
          </w:p>
        </w:tc>
        <w:tc>
          <w:tcPr>
            <w:tcW w:w="2339"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86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8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39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107"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2339"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35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INCUBADORA PARA TRANSPORTE CON VENTILADOR Y MONITOR</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INC-02-R09</w:t>
            </w:r>
          </w:p>
        </w:tc>
        <w:tc>
          <w:tcPr>
            <w:tcW w:w="104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86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San Vicente de Paúl</w:t>
            </w:r>
          </w:p>
        </w:tc>
        <w:tc>
          <w:tcPr>
            <w:tcW w:w="139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86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8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39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107"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2339"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3531" w:type="dxa"/>
            <w:vMerge w:val="restart"/>
            <w:tcBorders>
              <w:top w:val="nil"/>
              <w:left w:val="single" w:color="auto" w:sz="4" w:space="0"/>
              <w:bottom w:val="single" w:color="auto" w:sz="4" w:space="0"/>
              <w:right w:val="single" w:color="auto" w:sz="4" w:space="0"/>
            </w:tcBorders>
            <w:shd w:val="clear" w:color="auto" w:fill="auto"/>
            <w:vAlign w:val="center"/>
          </w:tcPr>
          <w:p>
            <w:pPr>
              <w:autoSpaceDE w:val="0"/>
              <w:autoSpaceDN w:val="0"/>
              <w:adjustRightInd w:val="0"/>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 DE RX DIGITAL MÓVIL PARA USO PEDIÁTRICO/NEONATAL, CON MONITOR INTEGRADO PARA VISUALIZACIÓN DE IMÁGENES</w:t>
            </w:r>
          </w:p>
          <w:p>
            <w:pPr>
              <w:autoSpaceDE w:val="0"/>
              <w:autoSpaceDN w:val="0"/>
              <w:adjustRightInd w:val="0"/>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RAY-05-R02</w:t>
            </w:r>
          </w:p>
        </w:tc>
        <w:tc>
          <w:tcPr>
            <w:tcW w:w="104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86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86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8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39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107"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2339"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3531" w:type="dxa"/>
            <w:vMerge w:val="restart"/>
            <w:tcBorders>
              <w:top w:val="nil"/>
              <w:left w:val="single" w:color="auto" w:sz="4" w:space="0"/>
              <w:bottom w:val="nil"/>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 DE ALTA FRECUENCIA</w:t>
            </w:r>
          </w:p>
          <w:p>
            <w:pPr>
              <w:spacing w:after="0" w:line="240" w:lineRule="auto"/>
              <w:jc w:val="center"/>
              <w:rPr>
                <w:rFonts w:eastAsia="Times New Roman" w:asciiTheme="minorHAnsi" w:hAnsiTheme="minorHAnsi" w:cstheme="minorHAnsi"/>
                <w:color w:val="92D050"/>
                <w:sz w:val="18"/>
                <w:szCs w:val="18"/>
                <w:lang w:val="es-EC" w:eastAsia="es-EC"/>
              </w:rPr>
            </w:pPr>
            <w:r>
              <w:rPr>
                <w:rFonts w:eastAsia="Times New Roman" w:asciiTheme="minorHAnsi" w:hAnsiTheme="minorHAnsi" w:cstheme="minorHAnsi"/>
                <w:color w:val="000000"/>
                <w:sz w:val="18"/>
                <w:szCs w:val="18"/>
                <w:lang w:val="es-EC" w:eastAsia="es-EC"/>
              </w:rPr>
              <w:t>RES-10-R03</w:t>
            </w: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San Vicente de Paúl</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6</w:t>
            </w:r>
          </w:p>
        </w:tc>
        <w:tc>
          <w:tcPr>
            <w:tcW w:w="35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 xml:space="preserve">BILIRRUBINÓMETRO PORTÁTIL PARA NEONATOS </w:t>
            </w:r>
          </w:p>
          <w:p>
            <w:pPr>
              <w:spacing w:after="0" w:line="240" w:lineRule="auto"/>
              <w:jc w:val="center"/>
              <w:rPr>
                <w:rFonts w:eastAsia="Times New Roman" w:asciiTheme="minorHAnsi" w:hAnsiTheme="minorHAnsi" w:cstheme="minorHAnsi"/>
                <w:sz w:val="18"/>
                <w:szCs w:val="18"/>
                <w:vertAlign w:val="superscript"/>
                <w:lang w:val="es-EC" w:eastAsia="es-EC"/>
              </w:rPr>
            </w:pPr>
            <w:r>
              <w:rPr>
                <w:rFonts w:eastAsia="Times New Roman" w:asciiTheme="minorHAnsi" w:hAnsiTheme="minorHAnsi" w:cstheme="minorHAnsi"/>
                <w:sz w:val="18"/>
                <w:szCs w:val="18"/>
                <w:lang w:val="es-EC" w:eastAsia="es-EC"/>
              </w:rPr>
              <w:t>BIL-01-R05</w:t>
            </w:r>
          </w:p>
        </w:tc>
        <w:tc>
          <w:tcPr>
            <w:tcW w:w="104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86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86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8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39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107"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2339"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7</w:t>
            </w:r>
          </w:p>
        </w:tc>
        <w:tc>
          <w:tcPr>
            <w:tcW w:w="35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 xml:space="preserve">PESABEBES ELECTRONICO </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color w:val="000000"/>
                <w:sz w:val="18"/>
                <w:szCs w:val="18"/>
                <w:lang w:val="es-EC" w:eastAsia="es-EC"/>
              </w:rPr>
              <w:t>PES-01-R08</w:t>
            </w:r>
          </w:p>
        </w:tc>
        <w:tc>
          <w:tcPr>
            <w:tcW w:w="104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86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86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8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39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107"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2339"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8</w:t>
            </w:r>
          </w:p>
        </w:tc>
        <w:tc>
          <w:tcPr>
            <w:tcW w:w="3531" w:type="dxa"/>
            <w:vMerge w:val="restart"/>
            <w:tcBorders>
              <w:top w:val="nil"/>
              <w:left w:val="single" w:color="auto" w:sz="4" w:space="0"/>
              <w:bottom w:val="nil"/>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CPAP NASAL PARA NEONATOS </w:t>
            </w:r>
          </w:p>
          <w:p>
            <w:pPr>
              <w:spacing w:after="0" w:line="240" w:lineRule="auto"/>
              <w:jc w:val="center"/>
              <w:rPr>
                <w:rFonts w:eastAsia="Times New Roman" w:asciiTheme="minorHAnsi" w:hAnsiTheme="minorHAnsi" w:cstheme="minorHAnsi"/>
                <w:color w:val="92D050"/>
                <w:sz w:val="18"/>
                <w:szCs w:val="18"/>
                <w:lang w:val="es-EC" w:eastAsia="es-EC"/>
              </w:rPr>
            </w:pPr>
            <w:r>
              <w:rPr>
                <w:rFonts w:eastAsia="Times New Roman" w:asciiTheme="minorHAnsi" w:hAnsiTheme="minorHAnsi" w:cstheme="minorHAnsi"/>
                <w:color w:val="000000"/>
                <w:sz w:val="18"/>
                <w:szCs w:val="18"/>
                <w:lang w:val="es-EC" w:eastAsia="es-EC"/>
              </w:rPr>
              <w:t>CPA-01-R06</w:t>
            </w: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San Vicente de Paúl</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9</w:t>
            </w:r>
          </w:p>
        </w:tc>
        <w:tc>
          <w:tcPr>
            <w:tcW w:w="3531" w:type="dxa"/>
            <w:vMerge w:val="restart"/>
            <w:tcBorders>
              <w:top w:val="nil"/>
              <w:left w:val="single" w:color="auto" w:sz="4" w:space="0"/>
              <w:bottom w:val="nil"/>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 xml:space="preserve">BALANZA PESA ÓRGANOS Y PAÑALES </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BAL-15-R05</w:t>
            </w: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c>
          <w:tcPr>
            <w:tcW w:w="3531"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San Vicente de Paúl</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10</w:t>
            </w:r>
          </w:p>
        </w:tc>
        <w:tc>
          <w:tcPr>
            <w:tcW w:w="3531" w:type="dxa"/>
            <w:vMerge w:val="restart"/>
            <w:tcBorders>
              <w:top w:val="nil"/>
              <w:left w:val="single" w:color="auto" w:sz="4" w:space="0"/>
              <w:bottom w:val="nil"/>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MONITOR MULTIPARÁMETRO BÁSICO PARA TRANSPORTE DE PACIENTE NEONATAL</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MON-06-R06</w:t>
            </w: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c>
          <w:tcPr>
            <w:tcW w:w="3531"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10</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San Vicente de Paúl</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11</w:t>
            </w:r>
          </w:p>
        </w:tc>
        <w:tc>
          <w:tcPr>
            <w:tcW w:w="3531" w:type="dxa"/>
            <w:vMerge w:val="restart"/>
            <w:tcBorders>
              <w:top w:val="nil"/>
              <w:left w:val="single" w:color="auto" w:sz="4" w:space="0"/>
              <w:bottom w:val="nil"/>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CUNA DE CALOR RADIANTE </w:t>
            </w:r>
          </w:p>
          <w:p>
            <w:pPr>
              <w:spacing w:after="0" w:line="240" w:lineRule="auto"/>
              <w:jc w:val="center"/>
              <w:rPr>
                <w:rFonts w:eastAsia="Times New Roman" w:asciiTheme="minorHAnsi" w:hAnsiTheme="minorHAnsi" w:cstheme="minorHAnsi"/>
                <w:color w:val="92D050"/>
                <w:sz w:val="18"/>
                <w:szCs w:val="18"/>
                <w:lang w:val="es-EC" w:eastAsia="es-EC"/>
              </w:rPr>
            </w:pPr>
            <w:r>
              <w:rPr>
                <w:rFonts w:eastAsia="Times New Roman" w:asciiTheme="minorHAnsi" w:hAnsiTheme="minorHAnsi" w:cstheme="minorHAnsi"/>
                <w:color w:val="000000"/>
                <w:sz w:val="18"/>
                <w:szCs w:val="18"/>
                <w:lang w:val="es-EC" w:eastAsia="es-EC"/>
              </w:rPr>
              <w:t>CUN-01-R06</w:t>
            </w: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720" w:hRule="atLeast"/>
          <w:jc w:val="center"/>
        </w:trPr>
        <w:tc>
          <w:tcPr>
            <w:tcW w:w="99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86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San Vicente de Paúl</w:t>
            </w:r>
          </w:p>
        </w:tc>
        <w:tc>
          <w:tcPr>
            <w:tcW w:w="13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12</w:t>
            </w:r>
          </w:p>
        </w:tc>
        <w:tc>
          <w:tcPr>
            <w:tcW w:w="35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 xml:space="preserve">LARINGOSCOPIO NEONATAL </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LAR-02-R08)</w:t>
            </w:r>
          </w:p>
        </w:tc>
        <w:tc>
          <w:tcPr>
            <w:tcW w:w="104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86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86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8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39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107"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2339"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13</w:t>
            </w:r>
          </w:p>
        </w:tc>
        <w:tc>
          <w:tcPr>
            <w:tcW w:w="35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 xml:space="preserve">SACALECHE ELECTRICO HOSPITALARIO </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SAC-01-R08</w:t>
            </w:r>
          </w:p>
        </w:tc>
        <w:tc>
          <w:tcPr>
            <w:tcW w:w="104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863"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Luis G. Dávila</w:t>
            </w:r>
          </w:p>
        </w:tc>
        <w:tc>
          <w:tcPr>
            <w:tcW w:w="139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39"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r>
      <w:tr>
        <w:tblPrEx>
          <w:tblLayout w:type="fixed"/>
          <w:tblCellMar>
            <w:top w:w="0" w:type="dxa"/>
            <w:left w:w="70" w:type="dxa"/>
            <w:bottom w:w="0" w:type="dxa"/>
            <w:right w:w="70" w:type="dxa"/>
          </w:tblCellMar>
        </w:tblPrEx>
        <w:trPr>
          <w:trHeight w:val="360" w:hRule="atLeast"/>
          <w:jc w:val="center"/>
        </w:trPr>
        <w:tc>
          <w:tcPr>
            <w:tcW w:w="99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35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04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863"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8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39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1107"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lang w:val="es-EC" w:eastAsia="es-EC"/>
              </w:rPr>
            </w:pPr>
          </w:p>
        </w:tc>
        <w:tc>
          <w:tcPr>
            <w:tcW w:w="2339" w:type="dxa"/>
            <w:vMerge w:val="continue"/>
            <w:tcBorders>
              <w:top w:val="nil"/>
              <w:left w:val="single" w:color="auto" w:sz="4" w:space="0"/>
              <w:bottom w:val="single" w:color="auto" w:sz="4" w:space="0"/>
              <w:right w:val="single" w:color="auto" w:sz="4" w:space="0"/>
            </w:tcBorders>
            <w:shd w:val="clear" w:color="auto" w:fill="auto"/>
            <w:vAlign w:val="center"/>
          </w:tcPr>
          <w:p>
            <w:pPr>
              <w:keepNext/>
              <w:spacing w:after="0" w:line="240" w:lineRule="auto"/>
              <w:jc w:val="center"/>
              <w:rPr>
                <w:rFonts w:eastAsia="Times New Roman" w:asciiTheme="minorHAnsi" w:hAnsiTheme="minorHAnsi" w:cstheme="minorHAnsi"/>
                <w:color w:val="92D050"/>
                <w:sz w:val="18"/>
                <w:szCs w:val="18"/>
                <w:lang w:val="es-EC" w:eastAsia="es-EC"/>
              </w:rPr>
            </w:pPr>
          </w:p>
        </w:tc>
      </w:tr>
    </w:tbl>
    <w:p>
      <w:pPr>
        <w:pStyle w:val="64"/>
        <w:spacing w:after="0" w:line="240" w:lineRule="auto"/>
        <w:jc w:val="both"/>
        <w:rPr>
          <w:rFonts w:eastAsia="Times New Roman" w:asciiTheme="minorHAnsi" w:hAnsiTheme="minorHAnsi" w:cstheme="minorHAnsi"/>
          <w:color w:val="92D050"/>
          <w:sz w:val="20"/>
          <w:szCs w:val="20"/>
          <w:lang w:val="es-EC"/>
        </w:rPr>
      </w:pPr>
    </w:p>
    <w:p>
      <w:pPr>
        <w:autoSpaceDE w:val="0"/>
        <w:autoSpaceDN w:val="0"/>
        <w:adjustRightInd w:val="0"/>
        <w:spacing w:after="0" w:line="240" w:lineRule="auto"/>
        <w:jc w:val="both"/>
        <w:rPr>
          <w:rFonts w:asciiTheme="minorHAnsi" w:hAnsiTheme="minorHAnsi" w:cstheme="minorHAnsi"/>
          <w:b/>
          <w:sz w:val="20"/>
          <w:szCs w:val="20"/>
          <w:lang w:val="es-EC" w:eastAsia="es-EC"/>
        </w:rPr>
      </w:pPr>
      <w:r>
        <w:rPr>
          <w:rFonts w:asciiTheme="minorHAnsi" w:hAnsiTheme="minorHAnsi" w:cstheme="minorHAnsi"/>
          <w:b/>
          <w:sz w:val="20"/>
          <w:szCs w:val="20"/>
          <w:lang w:val="es-EC" w:eastAsia="es-EC"/>
        </w:rPr>
        <w:t xml:space="preserve">LOTE 2: ZONA 4 (HOSPITAL GUSTAVO DOMÍNGUEZ – HOSPITAL GENERAL SANTO DOMINGO – HOSPITAL GENERAL DR. VERDI CEVALLOS) </w:t>
      </w:r>
    </w:p>
    <w:p>
      <w:pPr>
        <w:pStyle w:val="64"/>
        <w:spacing w:after="0" w:line="240" w:lineRule="auto"/>
        <w:jc w:val="both"/>
        <w:rPr>
          <w:rFonts w:eastAsia="Times New Roman" w:asciiTheme="minorHAnsi" w:hAnsiTheme="minorHAnsi" w:cstheme="minorHAnsi"/>
          <w:color w:val="92D050"/>
          <w:sz w:val="20"/>
          <w:szCs w:val="20"/>
          <w:lang w:val="es-EC"/>
        </w:rPr>
      </w:pPr>
    </w:p>
    <w:tbl>
      <w:tblPr>
        <w:tblStyle w:val="46"/>
        <w:tblW w:w="13100" w:type="dxa"/>
        <w:jc w:val="center"/>
        <w:tblInd w:w="0" w:type="dxa"/>
        <w:tblLayout w:type="fixed"/>
        <w:tblCellMar>
          <w:top w:w="0" w:type="dxa"/>
          <w:left w:w="70" w:type="dxa"/>
          <w:bottom w:w="0" w:type="dxa"/>
          <w:right w:w="70" w:type="dxa"/>
        </w:tblCellMar>
      </w:tblPr>
      <w:tblGrid>
        <w:gridCol w:w="989"/>
        <w:gridCol w:w="3502"/>
        <w:gridCol w:w="1041"/>
        <w:gridCol w:w="944"/>
        <w:gridCol w:w="1817"/>
        <w:gridCol w:w="1387"/>
        <w:gridCol w:w="1102"/>
        <w:gridCol w:w="2318"/>
      </w:tblGrid>
      <w:tr>
        <w:tblPrEx>
          <w:tblLayout w:type="fixed"/>
          <w:tblCellMar>
            <w:top w:w="0" w:type="dxa"/>
            <w:left w:w="70" w:type="dxa"/>
            <w:bottom w:w="0" w:type="dxa"/>
            <w:right w:w="70" w:type="dxa"/>
          </w:tblCellMar>
        </w:tblPrEx>
        <w:trPr>
          <w:trHeight w:val="360" w:hRule="atLeast"/>
          <w:jc w:val="center"/>
        </w:trPr>
        <w:tc>
          <w:tcPr>
            <w:tcW w:w="9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N° de artículo</w:t>
            </w:r>
          </w:p>
        </w:tc>
        <w:tc>
          <w:tcPr>
            <w:tcW w:w="35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Descripción del bien</w:t>
            </w:r>
          </w:p>
        </w:tc>
        <w:tc>
          <w:tcPr>
            <w:tcW w:w="10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Cantidad total</w:t>
            </w:r>
          </w:p>
        </w:tc>
        <w:tc>
          <w:tcPr>
            <w:tcW w:w="9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Unidad física</w:t>
            </w:r>
          </w:p>
        </w:tc>
        <w:tc>
          <w:tcPr>
            <w:tcW w:w="18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Lugar de destino convenido según se indica en los DDL</w:t>
            </w:r>
          </w:p>
        </w:tc>
        <w:tc>
          <w:tcPr>
            <w:tcW w:w="4807" w:type="dxa"/>
            <w:gridSpan w:val="3"/>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de Entrega</w:t>
            </w:r>
          </w:p>
        </w:tc>
      </w:tr>
      <w:tr>
        <w:tblPrEx>
          <w:tblLayout w:type="fixed"/>
          <w:tblCellMar>
            <w:top w:w="0" w:type="dxa"/>
            <w:left w:w="70" w:type="dxa"/>
            <w:bottom w:w="0" w:type="dxa"/>
            <w:right w:w="70" w:type="dxa"/>
          </w:tblCellMar>
        </w:tblPrEx>
        <w:trPr>
          <w:trHeight w:val="1275" w:hRule="atLeast"/>
          <w:jc w:val="center"/>
        </w:trPr>
        <w:tc>
          <w:tcPr>
            <w:tcW w:w="9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35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10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9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18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138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más temprana de entrega</w:t>
            </w:r>
          </w:p>
        </w:tc>
        <w:tc>
          <w:tcPr>
            <w:tcW w:w="110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de entrega</w:t>
            </w:r>
          </w:p>
        </w:tc>
        <w:tc>
          <w:tcPr>
            <w:tcW w:w="231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de entrega ofrecida por el Oferente [a ser especificada por el Oferente]</w:t>
            </w: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350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BALANZA DE PRESICIÓN DE 6 A 7 Kg </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color w:val="000000"/>
                <w:sz w:val="18"/>
                <w:szCs w:val="18"/>
                <w:lang w:val="es-EC" w:eastAsia="es-EC"/>
              </w:rPr>
              <w:t>BAL-11-R05</w:t>
            </w:r>
          </w:p>
        </w:tc>
        <w:tc>
          <w:tcPr>
            <w:tcW w:w="104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94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Santo Domingo</w:t>
            </w:r>
          </w:p>
        </w:tc>
        <w:tc>
          <w:tcPr>
            <w:tcW w:w="1387"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104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94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1817"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1387"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110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2318"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350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color w:val="000000"/>
                <w:sz w:val="18"/>
                <w:szCs w:val="18"/>
                <w:lang w:val="es-EC" w:eastAsia="es-EC"/>
              </w:rPr>
              <w:t>BALANZA PESA ÓRGANOS Y PAÑALES BAL-15-R05</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9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9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Santo Domingo</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9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350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PESABEBES ELECTRONICO </w:t>
            </w:r>
          </w:p>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color w:val="000000"/>
                <w:sz w:val="18"/>
                <w:szCs w:val="18"/>
                <w:lang w:val="es-EC" w:eastAsia="es-EC"/>
              </w:rPr>
              <w:t>PES-01-R08</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350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FONENDOSCOPIO NEONATAL </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FON-02-R08</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28</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20</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3502"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INCUBADORA </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INC-01-R07</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6</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6</w:t>
            </w:r>
          </w:p>
        </w:tc>
        <w:tc>
          <w:tcPr>
            <w:tcW w:w="3502"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INCUBADORA PARA TRANSPORTE CON VENTILADOR Y MONITOR </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INC-02-R09</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7</w:t>
            </w:r>
          </w:p>
        </w:tc>
        <w:tc>
          <w:tcPr>
            <w:tcW w:w="3502"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MESA MAYO</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MES-47-R08</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8</w:t>
            </w:r>
          </w:p>
        </w:tc>
        <w:tc>
          <w:tcPr>
            <w:tcW w:w="3502"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MONITOR DE SIGNOS VITALES PARA CUIDADO INTENSIVO / ANESTESIOLOGÍA</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MON-10-R07</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7</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c>
          <w:tcPr>
            <w:tcW w:w="3502" w:type="dxa"/>
            <w:vMerge w:val="continue"/>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9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Santo Domingo</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11</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9</w:t>
            </w:r>
          </w:p>
        </w:tc>
        <w:tc>
          <w:tcPr>
            <w:tcW w:w="3502"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MONITOR DE SIGNOS VITALES PORTÁTIL PARA NIBP &amp;SPO2</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MON-12-R08</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8</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10</w:t>
            </w:r>
          </w:p>
        </w:tc>
        <w:tc>
          <w:tcPr>
            <w:tcW w:w="350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 DE ALTA FRECUENCIA</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RES-10-R03</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11</w:t>
            </w:r>
          </w:p>
        </w:tc>
        <w:tc>
          <w:tcPr>
            <w:tcW w:w="3502" w:type="dxa"/>
            <w:vMerge w:val="restart"/>
            <w:tcBorders>
              <w:top w:val="nil"/>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RES-03-R08</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9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UNQIDAD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Santo Domingo</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12</w:t>
            </w:r>
          </w:p>
        </w:tc>
        <w:tc>
          <w:tcPr>
            <w:tcW w:w="3502"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DE TRANSPORTE INTRAHOSPITALARIO</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RES-02-R06</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13</w:t>
            </w:r>
          </w:p>
        </w:tc>
        <w:tc>
          <w:tcPr>
            <w:tcW w:w="3502"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EQUIPO DE REANIMACIÓN NEONATAL</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EQU-02-R07</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10</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15</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14</w:t>
            </w:r>
          </w:p>
        </w:tc>
        <w:tc>
          <w:tcPr>
            <w:tcW w:w="3502"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VACUÓMETRO</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VAC-01-R07</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15</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15</w:t>
            </w:r>
          </w:p>
        </w:tc>
        <w:tc>
          <w:tcPr>
            <w:tcW w:w="3502"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CUNA DE CALOR RADIANTE CON SISTEMA DE GASES</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CUN-02-R06</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8</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9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Santo Domingo</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7</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16</w:t>
            </w:r>
          </w:p>
        </w:tc>
        <w:tc>
          <w:tcPr>
            <w:tcW w:w="3502" w:type="dxa"/>
            <w:vMerge w:val="restart"/>
            <w:tcBorders>
              <w:left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CUNA DE CALOR RADIANTE </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CUN-01-R06</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8</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Gustavo Domínguez</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3502"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17</w:t>
            </w:r>
          </w:p>
        </w:tc>
        <w:tc>
          <w:tcPr>
            <w:tcW w:w="3502"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CPAP NASAL PARA NEONATOS</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CPA-01-R06</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18</w:t>
            </w:r>
          </w:p>
        </w:tc>
        <w:tc>
          <w:tcPr>
            <w:tcW w:w="350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LAMPARA DE FOTOTERAPIA</w:t>
            </w:r>
          </w:p>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LÁM-01-R07</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15</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19</w:t>
            </w:r>
          </w:p>
        </w:tc>
        <w:tc>
          <w:tcPr>
            <w:tcW w:w="350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LARINGOSCOPIO NEONATAL</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LAR-02-R08</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6</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20</w:t>
            </w:r>
          </w:p>
        </w:tc>
        <w:tc>
          <w:tcPr>
            <w:tcW w:w="350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ASPIRADOR PORTATIL</w:t>
            </w:r>
          </w:p>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ASP-03-R09</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7</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21</w:t>
            </w:r>
          </w:p>
        </w:tc>
        <w:tc>
          <w:tcPr>
            <w:tcW w:w="350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BILIRRUBINÓMETRO PORTÁTIL PARA NEONATOS</w:t>
            </w:r>
          </w:p>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BIL-01-R05</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2</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22</w:t>
            </w:r>
          </w:p>
        </w:tc>
        <w:tc>
          <w:tcPr>
            <w:tcW w:w="3502" w:type="dxa"/>
            <w:tcBorders>
              <w:top w:val="nil"/>
              <w:left w:val="single" w:color="auto" w:sz="4" w:space="0"/>
              <w:bottom w:val="single" w:color="auto" w:sz="4" w:space="0"/>
              <w:right w:val="single" w:color="auto" w:sz="4" w:space="0"/>
            </w:tcBorders>
            <w:shd w:val="clear" w:color="auto" w:fill="auto"/>
            <w:vAlign w:val="center"/>
          </w:tcPr>
          <w:p>
            <w:pPr>
              <w:autoSpaceDE w:val="0"/>
              <w:autoSpaceDN w:val="0"/>
              <w:adjustRightInd w:val="0"/>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UNIDAD DE RX DIGITAL MÓVIL PARA USO PEDIÁTRICO/NEONATAL, CON MONITOR INTEGRADO PARA VISUALIZACIÓN DE IMÁGENES</w:t>
            </w:r>
          </w:p>
          <w:p>
            <w:pPr>
              <w:autoSpaceDE w:val="0"/>
              <w:autoSpaceDN w:val="0"/>
              <w:adjustRightInd w:val="0"/>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RAY-05-R02</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1</w:t>
            </w:r>
          </w:p>
          <w:p>
            <w:pPr>
              <w:jc w:val="center"/>
              <w:rPr>
                <w:rFonts w:eastAsia="Times New Roman" w:asciiTheme="minorHAnsi" w:hAnsiTheme="minorHAnsi" w:cstheme="minorHAnsi"/>
                <w:sz w:val="18"/>
                <w:szCs w:val="18"/>
                <w:highlight w:val="yellow"/>
                <w:lang w:val="es-EC" w:eastAsia="es-EC"/>
              </w:rPr>
            </w:pPr>
          </w:p>
          <w:p>
            <w:pPr>
              <w:jc w:val="center"/>
              <w:rPr>
                <w:rFonts w:eastAsia="Times New Roman" w:asciiTheme="minorHAnsi" w:hAnsiTheme="minorHAnsi" w:cstheme="minorHAnsi"/>
                <w:sz w:val="18"/>
                <w:szCs w:val="18"/>
                <w:highlight w:val="yellow"/>
                <w:lang w:val="es-EC" w:eastAsia="es-EC"/>
              </w:rPr>
            </w:pP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23</w:t>
            </w:r>
          </w:p>
        </w:tc>
        <w:tc>
          <w:tcPr>
            <w:tcW w:w="350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CENTRAL DE MONITOREO DE TREINTA Y DOS TERMINALES</w:t>
            </w:r>
          </w:p>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CEN-02-R07</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1</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98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24</w:t>
            </w:r>
          </w:p>
        </w:tc>
        <w:tc>
          <w:tcPr>
            <w:tcW w:w="350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ANALIZADOR PORTÁTIL DE GASES Y ELECTROLITOS EN SANGRE</w:t>
            </w:r>
          </w:p>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ANA-15-R06</w:t>
            </w:r>
          </w:p>
        </w:tc>
        <w:tc>
          <w:tcPr>
            <w:tcW w:w="104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sz w:val="18"/>
                <w:szCs w:val="18"/>
                <w:lang w:val="es-EC" w:eastAsia="es-EC"/>
              </w:rPr>
              <w:t>1</w:t>
            </w:r>
          </w:p>
        </w:tc>
        <w:tc>
          <w:tcPr>
            <w:tcW w:w="944"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UNIDAD</w:t>
            </w:r>
          </w:p>
        </w:tc>
        <w:tc>
          <w:tcPr>
            <w:tcW w:w="181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General Dr. Verdi Cevallos</w:t>
            </w:r>
          </w:p>
        </w:tc>
        <w:tc>
          <w:tcPr>
            <w:tcW w:w="138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02"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31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bl>
    <w:p>
      <w:pPr>
        <w:pStyle w:val="120"/>
        <w:jc w:val="both"/>
        <w:rPr>
          <w:rFonts w:asciiTheme="minorHAnsi" w:hAnsiTheme="minorHAnsi" w:cstheme="minorHAnsi"/>
          <w:color w:val="92D050"/>
          <w:sz w:val="20"/>
          <w:lang w:val="es-EC"/>
        </w:rPr>
      </w:pPr>
    </w:p>
    <w:p>
      <w:pPr>
        <w:autoSpaceDE w:val="0"/>
        <w:autoSpaceDN w:val="0"/>
        <w:adjustRightInd w:val="0"/>
        <w:spacing w:after="0" w:line="240" w:lineRule="auto"/>
        <w:jc w:val="both"/>
        <w:rPr>
          <w:rFonts w:asciiTheme="minorHAnsi" w:hAnsiTheme="minorHAnsi" w:cstheme="minorHAnsi"/>
          <w:b/>
          <w:sz w:val="20"/>
          <w:szCs w:val="20"/>
          <w:lang w:val="es-EC" w:eastAsia="es-EC"/>
        </w:rPr>
      </w:pPr>
      <w:r>
        <w:rPr>
          <w:rFonts w:asciiTheme="minorHAnsi" w:hAnsiTheme="minorHAnsi" w:cstheme="minorHAnsi"/>
          <w:b/>
          <w:sz w:val="20"/>
          <w:szCs w:val="20"/>
          <w:lang w:val="es-EC" w:eastAsia="es-EC"/>
        </w:rPr>
        <w:t>LOTE 3: ZONA 9  (HOSPITAL GINECO - OBSTÉTRICO ISIDRO AYORA)</w:t>
      </w:r>
    </w:p>
    <w:p>
      <w:pPr>
        <w:pStyle w:val="64"/>
        <w:spacing w:after="0" w:line="240" w:lineRule="auto"/>
        <w:jc w:val="both"/>
        <w:rPr>
          <w:rFonts w:eastAsia="Times New Roman" w:asciiTheme="minorHAnsi" w:hAnsiTheme="minorHAnsi" w:cstheme="minorHAnsi"/>
          <w:color w:val="92D050"/>
          <w:sz w:val="20"/>
          <w:szCs w:val="20"/>
          <w:lang w:val="es-EC"/>
        </w:rPr>
      </w:pPr>
    </w:p>
    <w:tbl>
      <w:tblPr>
        <w:tblStyle w:val="46"/>
        <w:tblW w:w="13100" w:type="dxa"/>
        <w:jc w:val="center"/>
        <w:tblInd w:w="0" w:type="dxa"/>
        <w:tblLayout w:type="fixed"/>
        <w:tblCellMar>
          <w:top w:w="0" w:type="dxa"/>
          <w:left w:w="70" w:type="dxa"/>
          <w:bottom w:w="0" w:type="dxa"/>
          <w:right w:w="70" w:type="dxa"/>
        </w:tblCellMar>
      </w:tblPr>
      <w:tblGrid>
        <w:gridCol w:w="1024"/>
        <w:gridCol w:w="2522"/>
        <w:gridCol w:w="1080"/>
        <w:gridCol w:w="900"/>
        <w:gridCol w:w="2101"/>
        <w:gridCol w:w="1531"/>
        <w:gridCol w:w="1198"/>
        <w:gridCol w:w="2744"/>
      </w:tblGrid>
      <w:tr>
        <w:tblPrEx>
          <w:tblLayout w:type="fixed"/>
          <w:tblCellMar>
            <w:top w:w="0" w:type="dxa"/>
            <w:left w:w="70" w:type="dxa"/>
            <w:bottom w:w="0" w:type="dxa"/>
            <w:right w:w="70" w:type="dxa"/>
          </w:tblCellMar>
        </w:tblPrEx>
        <w:trPr>
          <w:trHeight w:val="360" w:hRule="atLeast"/>
          <w:jc w:val="center"/>
        </w:trPr>
        <w:tc>
          <w:tcPr>
            <w:tcW w:w="10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N° de artículo</w:t>
            </w:r>
          </w:p>
        </w:tc>
        <w:tc>
          <w:tcPr>
            <w:tcW w:w="25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Descripción del bien</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Cantidad total</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Unidad física</w:t>
            </w:r>
          </w:p>
        </w:tc>
        <w:tc>
          <w:tcPr>
            <w:tcW w:w="21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Lugar de destino convenido según se indica en los DDL</w:t>
            </w:r>
          </w:p>
        </w:tc>
        <w:tc>
          <w:tcPr>
            <w:tcW w:w="5473" w:type="dxa"/>
            <w:gridSpan w:val="3"/>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de Entrega</w:t>
            </w:r>
          </w:p>
        </w:tc>
      </w:tr>
      <w:tr>
        <w:tblPrEx>
          <w:tblLayout w:type="fixed"/>
          <w:tblCellMar>
            <w:top w:w="0" w:type="dxa"/>
            <w:left w:w="70" w:type="dxa"/>
            <w:bottom w:w="0" w:type="dxa"/>
            <w:right w:w="70" w:type="dxa"/>
          </w:tblCellMar>
        </w:tblPrEx>
        <w:trPr>
          <w:trHeight w:val="1275" w:hRule="atLeast"/>
          <w:jc w:val="center"/>
        </w:trPr>
        <w:tc>
          <w:tcPr>
            <w:tcW w:w="10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25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9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21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p>
        </w:tc>
        <w:tc>
          <w:tcPr>
            <w:tcW w:w="153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más temprana de entrega</w:t>
            </w:r>
          </w:p>
        </w:tc>
        <w:tc>
          <w:tcPr>
            <w:tcW w:w="119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de entrega</w:t>
            </w:r>
          </w:p>
        </w:tc>
        <w:tc>
          <w:tcPr>
            <w:tcW w:w="274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b/>
                <w:bCs/>
                <w:caps/>
                <w:sz w:val="18"/>
                <w:szCs w:val="18"/>
                <w:lang w:val="es-EC" w:eastAsia="es-EC"/>
              </w:rPr>
            </w:pPr>
            <w:r>
              <w:rPr>
                <w:rFonts w:eastAsia="Times New Roman" w:asciiTheme="minorHAnsi" w:hAnsiTheme="minorHAnsi" w:cstheme="minorHAnsi"/>
                <w:b/>
                <w:bCs/>
                <w:caps/>
                <w:sz w:val="18"/>
                <w:szCs w:val="18"/>
                <w:lang w:val="es-EC" w:eastAsia="es-EC"/>
              </w:rPr>
              <w:t>Fecha de entrega ofrecida por el Oferente [a ser especificada por el Oferente]</w:t>
            </w:r>
          </w:p>
        </w:tc>
      </w:tr>
      <w:tr>
        <w:tblPrEx>
          <w:tblLayout w:type="fixed"/>
          <w:tblCellMar>
            <w:top w:w="0" w:type="dxa"/>
            <w:left w:w="70" w:type="dxa"/>
            <w:bottom w:w="0" w:type="dxa"/>
            <w:right w:w="70" w:type="dxa"/>
          </w:tblCellMar>
        </w:tblPrEx>
        <w:trPr>
          <w:trHeight w:val="360" w:hRule="atLeast"/>
          <w:jc w:val="center"/>
        </w:trPr>
        <w:tc>
          <w:tcPr>
            <w:tcW w:w="102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252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w:t>
            </w:r>
          </w:p>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color w:val="000000"/>
                <w:sz w:val="18"/>
                <w:szCs w:val="18"/>
                <w:lang w:val="es-EC" w:eastAsia="es-EC"/>
              </w:rPr>
              <w:t>RES-03-R08</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10</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210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Gineco Obstétrico Isidro Ayora</w:t>
            </w:r>
          </w:p>
        </w:tc>
        <w:tc>
          <w:tcPr>
            <w:tcW w:w="1531"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p>
            <w:pPr>
              <w:spacing w:after="0" w:line="240" w:lineRule="auto"/>
              <w:jc w:val="center"/>
              <w:rPr>
                <w:rFonts w:eastAsia="Times New Roman" w:asciiTheme="minorHAnsi" w:hAnsiTheme="minorHAnsi" w:cstheme="minorHAnsi"/>
                <w:sz w:val="18"/>
                <w:szCs w:val="18"/>
                <w:lang w:val="es-EC" w:eastAsia="es-EC"/>
              </w:rPr>
            </w:pPr>
          </w:p>
        </w:tc>
        <w:tc>
          <w:tcPr>
            <w:tcW w:w="119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74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102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c>
          <w:tcPr>
            <w:tcW w:w="2522"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p>
        </w:tc>
        <w:tc>
          <w:tcPr>
            <w:tcW w:w="900"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210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1531"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1198"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c>
          <w:tcPr>
            <w:tcW w:w="2744" w:type="dxa"/>
            <w:vMerge w:val="continue"/>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2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 DE ALTA FRECUENCIA</w:t>
            </w:r>
          </w:p>
          <w:p>
            <w:pPr>
              <w:spacing w:after="0" w:line="240" w:lineRule="auto"/>
              <w:jc w:val="center"/>
              <w:rPr>
                <w:rFonts w:eastAsia="Times New Roman" w:asciiTheme="minorHAnsi" w:hAnsiTheme="minorHAnsi" w:cstheme="minorHAnsi"/>
                <w:sz w:val="18"/>
                <w:szCs w:val="18"/>
                <w:highlight w:val="yellow"/>
                <w:lang w:val="es-EC" w:eastAsia="es-EC"/>
              </w:rPr>
            </w:pPr>
            <w:r>
              <w:rPr>
                <w:rFonts w:eastAsia="Times New Roman" w:asciiTheme="minorHAnsi" w:hAnsiTheme="minorHAnsi" w:cstheme="minorHAnsi"/>
                <w:color w:val="000000"/>
                <w:sz w:val="18"/>
                <w:szCs w:val="18"/>
                <w:lang w:val="es-EC" w:eastAsia="es-EC"/>
              </w:rPr>
              <w:t>RES-10-R03</w:t>
            </w:r>
          </w:p>
        </w:tc>
        <w:tc>
          <w:tcPr>
            <w:tcW w:w="10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10</w:t>
            </w:r>
          </w:p>
        </w:tc>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210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Gineco Obstétrico Isidro Ayora</w:t>
            </w:r>
          </w:p>
        </w:tc>
        <w:tc>
          <w:tcPr>
            <w:tcW w:w="15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98"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7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3</w:t>
            </w:r>
          </w:p>
        </w:tc>
        <w:tc>
          <w:tcPr>
            <w:tcW w:w="2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CPAP NASAL PARA NEONATOS</w:t>
            </w:r>
          </w:p>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CPA-01-R06</w:t>
            </w:r>
          </w:p>
        </w:tc>
        <w:tc>
          <w:tcPr>
            <w:tcW w:w="10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210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Gineco Obstétrico Isidro Ayora</w:t>
            </w:r>
          </w:p>
        </w:tc>
        <w:tc>
          <w:tcPr>
            <w:tcW w:w="15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98"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7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4</w:t>
            </w:r>
          </w:p>
        </w:tc>
        <w:tc>
          <w:tcPr>
            <w:tcW w:w="2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INCUBADORA </w:t>
            </w:r>
          </w:p>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-INC-01-R07</w:t>
            </w:r>
          </w:p>
        </w:tc>
        <w:tc>
          <w:tcPr>
            <w:tcW w:w="10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20</w:t>
            </w:r>
          </w:p>
        </w:tc>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210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Gineco Obstétrico Isidro Ayora</w:t>
            </w:r>
          </w:p>
        </w:tc>
        <w:tc>
          <w:tcPr>
            <w:tcW w:w="15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98"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7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5</w:t>
            </w:r>
          </w:p>
        </w:tc>
        <w:tc>
          <w:tcPr>
            <w:tcW w:w="2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CUNA DE CALOR RADIANTE CON SISTEMA DE GASES</w:t>
            </w:r>
          </w:p>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CUN-02-R06</w:t>
            </w:r>
          </w:p>
        </w:tc>
        <w:tc>
          <w:tcPr>
            <w:tcW w:w="10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20</w:t>
            </w:r>
          </w:p>
        </w:tc>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210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Gineco Obstétrico Isidro Ayora</w:t>
            </w:r>
          </w:p>
        </w:tc>
        <w:tc>
          <w:tcPr>
            <w:tcW w:w="15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98"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7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6</w:t>
            </w:r>
          </w:p>
        </w:tc>
        <w:tc>
          <w:tcPr>
            <w:tcW w:w="2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BILIRRUBINÓMETRO PORTÁTIL PARA NEONATOS</w:t>
            </w:r>
          </w:p>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BIL-01-R05</w:t>
            </w:r>
          </w:p>
        </w:tc>
        <w:tc>
          <w:tcPr>
            <w:tcW w:w="10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1</w:t>
            </w:r>
          </w:p>
        </w:tc>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210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Gineco Obstétrico Isidro Ayora</w:t>
            </w:r>
          </w:p>
        </w:tc>
        <w:tc>
          <w:tcPr>
            <w:tcW w:w="15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98"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7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7</w:t>
            </w:r>
          </w:p>
        </w:tc>
        <w:tc>
          <w:tcPr>
            <w:tcW w:w="2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LAMPARA DE FOTOTERAPIA - LÁM-01-R07</w:t>
            </w:r>
          </w:p>
        </w:tc>
        <w:tc>
          <w:tcPr>
            <w:tcW w:w="10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20</w:t>
            </w:r>
          </w:p>
        </w:tc>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210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Gineco Obstétrico Isidro Ayora</w:t>
            </w:r>
          </w:p>
        </w:tc>
        <w:tc>
          <w:tcPr>
            <w:tcW w:w="15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98"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7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r>
        <w:tblPrEx>
          <w:tblLayout w:type="fixed"/>
          <w:tblCellMar>
            <w:top w:w="0" w:type="dxa"/>
            <w:left w:w="70" w:type="dxa"/>
            <w:bottom w:w="0" w:type="dxa"/>
            <w:right w:w="70" w:type="dxa"/>
          </w:tblCellMar>
        </w:tblPrEx>
        <w:trPr>
          <w:trHeight w:val="360" w:hRule="atLeast"/>
          <w:jc w:val="center"/>
        </w:trPr>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8</w:t>
            </w:r>
          </w:p>
        </w:tc>
        <w:tc>
          <w:tcPr>
            <w:tcW w:w="2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INCUBADORA PARA TRANSPORTE CON VENTILADOR Y MONITOR</w:t>
            </w:r>
          </w:p>
          <w:p>
            <w:pPr>
              <w:spacing w:after="0" w:line="240" w:lineRule="auto"/>
              <w:jc w:val="center"/>
              <w:rPr>
                <w:rFonts w:eastAsia="Times New Roman" w:asciiTheme="minorHAnsi" w:hAnsiTheme="minorHAnsi" w:cstheme="minorHAnsi"/>
                <w:color w:val="92D050"/>
                <w:sz w:val="18"/>
                <w:szCs w:val="18"/>
                <w:highlight w:val="yellow"/>
                <w:lang w:val="es-EC" w:eastAsia="es-EC"/>
              </w:rPr>
            </w:pPr>
            <w:r>
              <w:rPr>
                <w:rFonts w:eastAsia="Times New Roman" w:asciiTheme="minorHAnsi" w:hAnsiTheme="minorHAnsi" w:cstheme="minorHAnsi"/>
                <w:color w:val="000000"/>
                <w:sz w:val="18"/>
                <w:szCs w:val="18"/>
                <w:lang w:val="es-EC" w:eastAsia="es-EC"/>
              </w:rPr>
              <w:t>INC-02-R09</w:t>
            </w:r>
          </w:p>
        </w:tc>
        <w:tc>
          <w:tcPr>
            <w:tcW w:w="10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2</w:t>
            </w:r>
          </w:p>
        </w:tc>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UNIDAD</w:t>
            </w:r>
          </w:p>
        </w:tc>
        <w:tc>
          <w:tcPr>
            <w:tcW w:w="210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Hospital Gineco Obstétrico Isidro Ayora</w:t>
            </w:r>
          </w:p>
        </w:tc>
        <w:tc>
          <w:tcPr>
            <w:tcW w:w="15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No aplica</w:t>
            </w:r>
          </w:p>
        </w:tc>
        <w:tc>
          <w:tcPr>
            <w:tcW w:w="1198"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eastAsia="Times New Roman" w:asciiTheme="minorHAnsi" w:hAnsiTheme="minorHAnsi" w:cstheme="minorHAnsi"/>
                <w:sz w:val="18"/>
                <w:szCs w:val="18"/>
                <w:lang w:val="es-EC" w:eastAsia="es-EC"/>
              </w:rPr>
              <w:t>90 días a partir del anticipo</w:t>
            </w:r>
          </w:p>
        </w:tc>
        <w:tc>
          <w:tcPr>
            <w:tcW w:w="27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92D050"/>
                <w:sz w:val="18"/>
                <w:szCs w:val="18"/>
                <w:highlight w:val="yellow"/>
                <w:lang w:val="es-EC" w:eastAsia="es-EC"/>
              </w:rPr>
            </w:pPr>
          </w:p>
        </w:tc>
      </w:tr>
    </w:tbl>
    <w:p>
      <w:pPr>
        <w:pStyle w:val="64"/>
        <w:spacing w:after="0" w:line="240" w:lineRule="auto"/>
        <w:jc w:val="both"/>
        <w:rPr>
          <w:rFonts w:asciiTheme="minorHAnsi" w:hAnsiTheme="minorHAnsi" w:cstheme="minorHAnsi"/>
          <w:b/>
          <w:sz w:val="20"/>
          <w:szCs w:val="20"/>
          <w:lang w:val="es-EC"/>
        </w:rPr>
      </w:pPr>
    </w:p>
    <w:p>
      <w:pPr>
        <w:pStyle w:val="64"/>
        <w:spacing w:after="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IMPORTANTE:</w:t>
      </w:r>
    </w:p>
    <w:p>
      <w:pPr>
        <w:pStyle w:val="64"/>
        <w:spacing w:after="0" w:line="240" w:lineRule="auto"/>
        <w:jc w:val="both"/>
        <w:rPr>
          <w:rFonts w:asciiTheme="minorHAnsi" w:hAnsiTheme="minorHAnsi" w:cstheme="minorHAnsi"/>
          <w:b/>
          <w:sz w:val="20"/>
          <w:szCs w:val="20"/>
          <w:lang w:val="es-EC"/>
        </w:rPr>
      </w:pPr>
    </w:p>
    <w:p>
      <w:pPr>
        <w:spacing w:after="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El plazo de entrega para cada uno de los lotes será de: 90 días a partir del anticipo </w:t>
      </w:r>
    </w:p>
    <w:p>
      <w:pPr>
        <w:spacing w:after="0" w:line="240" w:lineRule="auto"/>
        <w:jc w:val="both"/>
        <w:rPr>
          <w:rFonts w:eastAsia="Times New Roman" w:asciiTheme="minorHAnsi" w:hAnsiTheme="minorHAnsi" w:cstheme="minorHAnsi"/>
          <w:sz w:val="20"/>
          <w:szCs w:val="20"/>
          <w:lang w:val="es-EC"/>
        </w:rPr>
      </w:pPr>
    </w:p>
    <w:p>
      <w:pPr>
        <w:spacing w:after="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El lugar de entrega de los bienes será en los Establecimientos de Salud descritos, o de conformidad a las necesidades institucionales debidamente motivadas, será el lugar definido por el administrador del contrato, en coordinación con el Oferente Adjudicado, procurando en todos los casos mantener el equilibrio económico del contrato, para lo cual se establecerán los procedimientos a fin de cumplir con dicho propósito, de darse esta situación, se notificará al Oferente Adjudicado con una anticipación prudencial que le permita realizar las  gestiones pertinentes para garantizar el proceso correcto de entrega.</w:t>
      </w:r>
    </w:p>
    <w:p>
      <w:pPr>
        <w:pStyle w:val="64"/>
        <w:spacing w:after="0" w:line="240" w:lineRule="auto"/>
        <w:jc w:val="both"/>
        <w:rPr>
          <w:rFonts w:eastAsia="Times New Roman" w:asciiTheme="minorHAnsi" w:hAnsiTheme="minorHAnsi" w:cstheme="minorHAnsi"/>
          <w:sz w:val="20"/>
          <w:szCs w:val="20"/>
          <w:lang w:val="es-EC"/>
        </w:rPr>
      </w:pPr>
    </w:p>
    <w:p>
      <w:pPr>
        <w:pStyle w:val="64"/>
        <w:numPr>
          <w:ilvl w:val="0"/>
          <w:numId w:val="107"/>
        </w:numPr>
        <w:spacing w:after="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Las obligaciones relativas al transporte e instalación de equipos asumidas por el Oferente Adjudicado terminan una vez que el equipo se encuentre funcionando en el lugar designado por el Comprador, en caso de que el equipo haya sido entregado en un lugar designado por el Comprador, sin que sea posible su instalación y resulte necesario su traslado a otro establecimiento  de salud para su instalación y puesta en funcionamiento, los gastos correspondientes al transporte serán asumidos por el Comprador.</w:t>
      </w:r>
    </w:p>
    <w:p>
      <w:pPr>
        <w:pStyle w:val="64"/>
        <w:rPr>
          <w:rFonts w:eastAsia="Times New Roman" w:asciiTheme="minorHAnsi" w:hAnsiTheme="minorHAnsi" w:cstheme="minorHAnsi"/>
          <w:sz w:val="20"/>
          <w:szCs w:val="20"/>
          <w:lang w:val="es-EC"/>
        </w:rPr>
      </w:pPr>
    </w:p>
    <w:p>
      <w:pPr>
        <w:pStyle w:val="64"/>
        <w:numPr>
          <w:ilvl w:val="0"/>
          <w:numId w:val="107"/>
        </w:numPr>
        <w:spacing w:after="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Recepción definitiva: La recepción de los bienes se realizarán a entera satisfacción del COMPRADOR, y será necesaria la suscripción de las respectivas actas de entrega-recepción parciales por el Proveedor Adjudicado y los respectivos integrantes de la Comisión de Recepción nombrada por la Máxima autoridad o su delegado y que está conformada por el Administrador de contrato y por el técnico afín que no haya intervenido en el proceso de ejecución del contrato,  quienes recibirán, revisarán y examinarán que los bienes se encuentren en perfecto estado. Adoptará las acciones que sean necesarias para evitar retrasos injustificados e impondrá las multas y</w:t>
      </w:r>
      <w:r>
        <w:rPr>
          <w:rFonts w:eastAsia="Times New Roman" w:asciiTheme="minorHAnsi" w:hAnsiTheme="minorHAnsi" w:cstheme="minorHAnsi"/>
          <w:color w:val="92D050"/>
          <w:sz w:val="20"/>
          <w:szCs w:val="20"/>
          <w:lang w:val="es-EC"/>
        </w:rPr>
        <w:t xml:space="preserve"> </w:t>
      </w:r>
      <w:r>
        <w:rPr>
          <w:rFonts w:eastAsia="Times New Roman" w:asciiTheme="minorHAnsi" w:hAnsiTheme="minorHAnsi" w:cstheme="minorHAnsi"/>
          <w:sz w:val="20"/>
          <w:szCs w:val="20"/>
          <w:lang w:val="es-EC"/>
        </w:rPr>
        <w:t>sanciones a que hubiere lugar, así como también deberá atenerse a las condiciones generales y específicas de los pliegos que forman parte del presente contrato.</w:t>
      </w:r>
    </w:p>
    <w:p>
      <w:pPr>
        <w:spacing w:after="0" w:line="240" w:lineRule="auto"/>
        <w:ind w:left="720"/>
        <w:jc w:val="both"/>
        <w:rPr>
          <w:rFonts w:eastAsia="Times New Roman" w:asciiTheme="minorHAnsi" w:hAnsiTheme="minorHAnsi" w:cstheme="minorHAnsi"/>
          <w:sz w:val="20"/>
          <w:szCs w:val="20"/>
          <w:lang w:val="es-EC"/>
        </w:rPr>
      </w:pPr>
    </w:p>
    <w:p>
      <w:pPr>
        <w:spacing w:after="0" w:line="240" w:lineRule="auto"/>
        <w:ind w:left="720"/>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La liquidación final del Contrato se realizará en los términos previstos por los artículos 124 y 125 del Reglamento General a la Ley Orgánica del Sistema Nacional de Contratación Pública y formará parte del acta definitiva, misma que será suscrita por la Comisión de Recepción nombrada por la Máxima Autoridad o su Delegado y que estará conformada por el Administrador de Contratado y por un Técnico afín que no haya intervenido en el proceso de ejecución del contrato. </w:t>
      </w:r>
    </w:p>
    <w:p>
      <w:pPr>
        <w:pStyle w:val="64"/>
        <w:rPr>
          <w:rFonts w:eastAsia="Times New Roman" w:asciiTheme="minorHAnsi" w:hAnsiTheme="minorHAnsi" w:cstheme="minorHAnsi"/>
          <w:sz w:val="20"/>
          <w:szCs w:val="20"/>
          <w:lang w:val="es-EC"/>
        </w:rPr>
      </w:pPr>
    </w:p>
    <w:p>
      <w:pPr>
        <w:rPr>
          <w:rFonts w:asciiTheme="minorHAnsi" w:hAnsiTheme="minorHAnsi" w:cstheme="minorHAnsi"/>
          <w:color w:val="92D050"/>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bookmarkStart w:id="339" w:name="_Toc106182902"/>
      <w:bookmarkStart w:id="340" w:name="_Toc317173269"/>
      <w:bookmarkStart w:id="341" w:name="_Toc478103486"/>
      <w:r>
        <w:rPr>
          <w:rFonts w:eastAsia="Times New Roman" w:asciiTheme="minorHAnsi" w:hAnsiTheme="minorHAnsi" w:cstheme="minorHAnsi"/>
          <w:b/>
          <w:bCs/>
          <w:sz w:val="20"/>
          <w:szCs w:val="20"/>
          <w:lang w:val="es-EC"/>
        </w:rPr>
        <w:t>Lista de Servicios Conexos y Cronograma de Cumplimiento</w:t>
      </w:r>
      <w:bookmarkEnd w:id="339"/>
      <w:bookmarkEnd w:id="340"/>
      <w:r>
        <w:rPr>
          <w:rFonts w:eastAsia="Times New Roman" w:asciiTheme="minorHAnsi" w:hAnsiTheme="minorHAnsi" w:cstheme="minorHAnsi"/>
          <w:b/>
          <w:bCs/>
          <w:sz w:val="20"/>
          <w:szCs w:val="20"/>
          <w:lang w:val="es-EC"/>
        </w:rPr>
        <w:t xml:space="preserve"> </w:t>
      </w:r>
      <w:bookmarkEnd w:id="341"/>
    </w:p>
    <w:p>
      <w:pPr>
        <w:rPr>
          <w:rFonts w:asciiTheme="minorHAnsi" w:hAnsiTheme="minorHAnsi" w:cstheme="minorHAnsi"/>
          <w:sz w:val="20"/>
          <w:szCs w:val="20"/>
          <w:lang w:val="es-EC"/>
        </w:rPr>
      </w:pPr>
    </w:p>
    <w:tbl>
      <w:tblPr>
        <w:tblStyle w:val="46"/>
        <w:tblW w:w="1297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4230"/>
        <w:gridCol w:w="1890"/>
        <w:gridCol w:w="1890"/>
        <w:gridCol w:w="2340"/>
        <w:gridCol w:w="162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20" w:hRule="atLeast"/>
        </w:trPr>
        <w:tc>
          <w:tcPr>
            <w:tcW w:w="1008" w:type="dxa"/>
            <w:vMerge w:val="restart"/>
            <w:tcBorders>
              <w:top w:val="single" w:color="auto" w:sz="6" w:space="0"/>
              <w:bottom w:val="single" w:color="auto" w:sz="6" w:space="0"/>
            </w:tcBorders>
            <w:vAlign w:val="center"/>
          </w:tcPr>
          <w:p>
            <w:pPr>
              <w:spacing w:before="120"/>
              <w:jc w:val="center"/>
              <w:rPr>
                <w:rFonts w:asciiTheme="minorHAnsi" w:hAnsiTheme="minorHAnsi" w:cstheme="minorHAnsi"/>
                <w:b/>
                <w:bCs/>
                <w:sz w:val="18"/>
                <w:szCs w:val="18"/>
                <w:lang w:val="es-EC"/>
              </w:rPr>
            </w:pPr>
          </w:p>
          <w:p>
            <w:pPr>
              <w:spacing w:before="120"/>
              <w:jc w:val="center"/>
              <w:rPr>
                <w:rFonts w:asciiTheme="minorHAnsi" w:hAnsiTheme="minorHAnsi" w:cstheme="minorHAnsi"/>
                <w:b/>
                <w:bCs/>
                <w:sz w:val="18"/>
                <w:szCs w:val="18"/>
                <w:lang w:val="es-EC"/>
              </w:rPr>
            </w:pPr>
            <w:r>
              <w:rPr>
                <w:rFonts w:asciiTheme="minorHAnsi" w:hAnsiTheme="minorHAnsi" w:cstheme="minorHAnsi"/>
                <w:b/>
                <w:bCs/>
                <w:sz w:val="18"/>
                <w:szCs w:val="18"/>
                <w:lang w:val="es-EC"/>
              </w:rPr>
              <w:t>Servicio</w:t>
            </w:r>
          </w:p>
        </w:tc>
        <w:tc>
          <w:tcPr>
            <w:tcW w:w="4230" w:type="dxa"/>
            <w:vMerge w:val="restart"/>
            <w:tcBorders>
              <w:top w:val="single" w:color="auto" w:sz="6" w:space="0"/>
              <w:bottom w:val="single" w:color="auto" w:sz="6" w:space="0"/>
            </w:tcBorders>
            <w:vAlign w:val="center"/>
          </w:tcPr>
          <w:p>
            <w:pPr>
              <w:spacing w:before="120"/>
              <w:jc w:val="center"/>
              <w:rPr>
                <w:rFonts w:asciiTheme="minorHAnsi" w:hAnsiTheme="minorHAnsi" w:cstheme="minorHAnsi"/>
                <w:b/>
                <w:bCs/>
                <w:sz w:val="18"/>
                <w:szCs w:val="18"/>
                <w:lang w:val="es-EC"/>
              </w:rPr>
            </w:pPr>
          </w:p>
          <w:p>
            <w:pPr>
              <w:spacing w:before="120"/>
              <w:jc w:val="center"/>
              <w:rPr>
                <w:rFonts w:asciiTheme="minorHAnsi" w:hAnsiTheme="minorHAnsi" w:cstheme="minorHAnsi"/>
                <w:b/>
                <w:bCs/>
                <w:sz w:val="18"/>
                <w:szCs w:val="18"/>
                <w:lang w:val="es-EC"/>
              </w:rPr>
            </w:pPr>
            <w:r>
              <w:rPr>
                <w:rFonts w:asciiTheme="minorHAnsi" w:hAnsiTheme="minorHAnsi" w:cstheme="minorHAnsi"/>
                <w:b/>
                <w:bCs/>
                <w:sz w:val="18"/>
                <w:szCs w:val="18"/>
                <w:lang w:val="es-EC"/>
              </w:rPr>
              <w:t>Descripción del Servicio</w:t>
            </w:r>
          </w:p>
        </w:tc>
        <w:tc>
          <w:tcPr>
            <w:tcW w:w="1890" w:type="dxa"/>
            <w:vMerge w:val="restart"/>
            <w:tcBorders>
              <w:top w:val="single" w:color="auto" w:sz="6" w:space="0"/>
              <w:bottom w:val="single" w:color="auto" w:sz="6" w:space="0"/>
            </w:tcBorders>
            <w:vAlign w:val="center"/>
          </w:tcPr>
          <w:p>
            <w:pPr>
              <w:spacing w:before="120"/>
              <w:jc w:val="center"/>
              <w:rPr>
                <w:rFonts w:asciiTheme="minorHAnsi" w:hAnsiTheme="minorHAnsi" w:cstheme="minorHAnsi"/>
                <w:b/>
                <w:bCs/>
                <w:sz w:val="18"/>
                <w:szCs w:val="18"/>
                <w:lang w:val="es-EC"/>
              </w:rPr>
            </w:pPr>
          </w:p>
          <w:p>
            <w:pPr>
              <w:spacing w:before="120"/>
              <w:jc w:val="center"/>
              <w:rPr>
                <w:rFonts w:asciiTheme="minorHAnsi" w:hAnsiTheme="minorHAnsi" w:cstheme="minorHAnsi"/>
                <w:b/>
                <w:bCs/>
                <w:sz w:val="18"/>
                <w:szCs w:val="18"/>
                <w:lang w:val="es-EC"/>
              </w:rPr>
            </w:pPr>
            <w:r>
              <w:rPr>
                <w:rFonts w:asciiTheme="minorHAnsi" w:hAnsiTheme="minorHAnsi" w:cstheme="minorHAnsi"/>
                <w:b/>
                <w:bCs/>
                <w:sz w:val="18"/>
                <w:szCs w:val="18"/>
                <w:lang w:val="es-EC"/>
              </w:rPr>
              <w:t>Cantidad</w:t>
            </w:r>
            <w:r>
              <w:rPr>
                <w:rFonts w:asciiTheme="minorHAnsi" w:hAnsiTheme="minorHAnsi" w:cstheme="minorHAnsi"/>
                <w:b/>
                <w:bCs/>
                <w:sz w:val="18"/>
                <w:szCs w:val="18"/>
                <w:vertAlign w:val="superscript"/>
                <w:lang w:val="es-EC"/>
              </w:rPr>
              <w:t>1</w:t>
            </w:r>
          </w:p>
        </w:tc>
        <w:tc>
          <w:tcPr>
            <w:tcW w:w="1890" w:type="dxa"/>
            <w:vMerge w:val="restart"/>
            <w:tcBorders>
              <w:top w:val="single" w:color="auto" w:sz="6" w:space="0"/>
              <w:bottom w:val="single" w:color="auto" w:sz="6" w:space="0"/>
            </w:tcBorders>
            <w:vAlign w:val="center"/>
          </w:tcPr>
          <w:p>
            <w:pPr>
              <w:spacing w:before="120"/>
              <w:jc w:val="center"/>
              <w:rPr>
                <w:rFonts w:asciiTheme="minorHAnsi" w:hAnsiTheme="minorHAnsi" w:cstheme="minorHAnsi"/>
                <w:b/>
                <w:bCs/>
                <w:sz w:val="18"/>
                <w:szCs w:val="18"/>
                <w:lang w:val="es-EC"/>
              </w:rPr>
            </w:pPr>
          </w:p>
          <w:p>
            <w:pPr>
              <w:spacing w:before="120"/>
              <w:jc w:val="center"/>
              <w:rPr>
                <w:rFonts w:asciiTheme="minorHAnsi" w:hAnsiTheme="minorHAnsi" w:cstheme="minorHAnsi"/>
                <w:b/>
                <w:bCs/>
                <w:sz w:val="18"/>
                <w:szCs w:val="18"/>
                <w:lang w:val="es-EC"/>
              </w:rPr>
            </w:pPr>
            <w:r>
              <w:rPr>
                <w:rFonts w:asciiTheme="minorHAnsi" w:hAnsiTheme="minorHAnsi" w:cstheme="minorHAnsi"/>
                <w:b/>
                <w:bCs/>
                <w:sz w:val="18"/>
                <w:szCs w:val="18"/>
                <w:lang w:val="es-EC"/>
              </w:rPr>
              <w:t>Unidad física</w:t>
            </w:r>
          </w:p>
        </w:tc>
        <w:tc>
          <w:tcPr>
            <w:tcW w:w="2340" w:type="dxa"/>
            <w:vMerge w:val="restart"/>
            <w:tcBorders>
              <w:top w:val="single" w:color="auto" w:sz="6" w:space="0"/>
              <w:bottom w:val="single" w:color="auto" w:sz="6" w:space="0"/>
            </w:tcBorders>
            <w:vAlign w:val="center"/>
          </w:tcPr>
          <w:p>
            <w:pPr>
              <w:spacing w:before="120"/>
              <w:jc w:val="center"/>
              <w:rPr>
                <w:rFonts w:asciiTheme="minorHAnsi" w:hAnsiTheme="minorHAnsi" w:cstheme="minorHAnsi"/>
                <w:b/>
                <w:bCs/>
                <w:sz w:val="18"/>
                <w:szCs w:val="18"/>
                <w:lang w:val="es-EC"/>
              </w:rPr>
            </w:pPr>
            <w:r>
              <w:rPr>
                <w:rFonts w:asciiTheme="minorHAnsi" w:hAnsiTheme="minorHAnsi" w:cstheme="minorHAnsi"/>
                <w:b/>
                <w:bCs/>
                <w:sz w:val="18"/>
                <w:szCs w:val="18"/>
                <w:lang w:val="es-EC"/>
              </w:rPr>
              <w:t>Lugar donde los Servicios serán presentados</w:t>
            </w:r>
          </w:p>
        </w:tc>
        <w:tc>
          <w:tcPr>
            <w:tcW w:w="1620" w:type="dxa"/>
            <w:vMerge w:val="restart"/>
            <w:tcBorders>
              <w:top w:val="single" w:color="auto" w:sz="6" w:space="0"/>
              <w:bottom w:val="single" w:color="auto" w:sz="6" w:space="0"/>
            </w:tcBorders>
            <w:vAlign w:val="center"/>
          </w:tcPr>
          <w:p>
            <w:pPr>
              <w:spacing w:before="120"/>
              <w:ind w:left="-18"/>
              <w:jc w:val="center"/>
              <w:rPr>
                <w:rFonts w:asciiTheme="minorHAnsi" w:hAnsiTheme="minorHAnsi" w:cstheme="minorHAnsi"/>
                <w:b/>
                <w:bCs/>
                <w:sz w:val="18"/>
                <w:szCs w:val="18"/>
                <w:lang w:val="es-EC"/>
              </w:rPr>
            </w:pPr>
            <w:r>
              <w:rPr>
                <w:rFonts w:asciiTheme="minorHAnsi" w:hAnsiTheme="minorHAnsi" w:cstheme="minorHAnsi"/>
                <w:b/>
                <w:bCs/>
                <w:sz w:val="18"/>
                <w:szCs w:val="18"/>
                <w:lang w:val="es-EC"/>
              </w:rPr>
              <w:t>Fecha(s) Final(es) de Ejecución de los Servicios</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1" w:hRule="atLeast"/>
        </w:trPr>
        <w:tc>
          <w:tcPr>
            <w:tcW w:w="1008" w:type="dxa"/>
            <w:vMerge w:val="continue"/>
            <w:tcBorders>
              <w:top w:val="single" w:color="auto" w:sz="6" w:space="0"/>
              <w:bottom w:val="single" w:color="auto" w:sz="6" w:space="0"/>
            </w:tcBorders>
            <w:vAlign w:val="center"/>
          </w:tcPr>
          <w:p>
            <w:pPr>
              <w:jc w:val="center"/>
              <w:rPr>
                <w:rFonts w:asciiTheme="minorHAnsi" w:hAnsiTheme="minorHAnsi" w:cstheme="minorHAnsi"/>
                <w:sz w:val="18"/>
                <w:szCs w:val="18"/>
                <w:lang w:val="es-EC"/>
              </w:rPr>
            </w:pPr>
          </w:p>
        </w:tc>
        <w:tc>
          <w:tcPr>
            <w:tcW w:w="4230" w:type="dxa"/>
            <w:vMerge w:val="continue"/>
            <w:tcBorders>
              <w:top w:val="single" w:color="auto" w:sz="6" w:space="0"/>
              <w:bottom w:val="single" w:color="auto" w:sz="6" w:space="0"/>
            </w:tcBorders>
            <w:vAlign w:val="center"/>
          </w:tcPr>
          <w:p>
            <w:pPr>
              <w:jc w:val="center"/>
              <w:rPr>
                <w:rFonts w:asciiTheme="minorHAnsi" w:hAnsiTheme="minorHAnsi" w:cstheme="minorHAnsi"/>
                <w:sz w:val="18"/>
                <w:szCs w:val="18"/>
                <w:lang w:val="es-EC"/>
              </w:rPr>
            </w:pPr>
          </w:p>
        </w:tc>
        <w:tc>
          <w:tcPr>
            <w:tcW w:w="1890" w:type="dxa"/>
            <w:vMerge w:val="continue"/>
            <w:tcBorders>
              <w:top w:val="single" w:color="auto" w:sz="6" w:space="0"/>
              <w:bottom w:val="single" w:color="auto" w:sz="6" w:space="0"/>
            </w:tcBorders>
            <w:vAlign w:val="center"/>
          </w:tcPr>
          <w:p>
            <w:pPr>
              <w:jc w:val="center"/>
              <w:rPr>
                <w:rFonts w:asciiTheme="minorHAnsi" w:hAnsiTheme="minorHAnsi" w:cstheme="minorHAnsi"/>
                <w:sz w:val="18"/>
                <w:szCs w:val="18"/>
                <w:lang w:val="es-EC"/>
              </w:rPr>
            </w:pPr>
          </w:p>
        </w:tc>
        <w:tc>
          <w:tcPr>
            <w:tcW w:w="1890" w:type="dxa"/>
            <w:vMerge w:val="continue"/>
            <w:tcBorders>
              <w:top w:val="single" w:color="auto" w:sz="6" w:space="0"/>
              <w:bottom w:val="single" w:color="auto" w:sz="6" w:space="0"/>
            </w:tcBorders>
            <w:vAlign w:val="center"/>
          </w:tcPr>
          <w:p>
            <w:pPr>
              <w:jc w:val="center"/>
              <w:rPr>
                <w:rFonts w:asciiTheme="minorHAnsi" w:hAnsiTheme="minorHAnsi" w:cstheme="minorHAnsi"/>
                <w:sz w:val="18"/>
                <w:szCs w:val="18"/>
                <w:lang w:val="es-EC"/>
              </w:rPr>
            </w:pPr>
          </w:p>
        </w:tc>
        <w:tc>
          <w:tcPr>
            <w:tcW w:w="2340" w:type="dxa"/>
            <w:vMerge w:val="continue"/>
            <w:tcBorders>
              <w:top w:val="single" w:color="auto" w:sz="6" w:space="0"/>
              <w:bottom w:val="single" w:color="auto" w:sz="6" w:space="0"/>
            </w:tcBorders>
            <w:vAlign w:val="center"/>
          </w:tcPr>
          <w:p>
            <w:pPr>
              <w:jc w:val="center"/>
              <w:rPr>
                <w:rFonts w:asciiTheme="minorHAnsi" w:hAnsiTheme="minorHAnsi" w:cstheme="minorHAnsi"/>
                <w:sz w:val="18"/>
                <w:szCs w:val="18"/>
                <w:lang w:val="es-EC"/>
              </w:rPr>
            </w:pPr>
          </w:p>
        </w:tc>
        <w:tc>
          <w:tcPr>
            <w:tcW w:w="1620" w:type="dxa"/>
            <w:vMerge w:val="continue"/>
            <w:tcBorders>
              <w:top w:val="single" w:color="auto" w:sz="6" w:space="0"/>
              <w:bottom w:val="single" w:color="auto" w:sz="6" w:space="0"/>
            </w:tcBorders>
            <w:vAlign w:val="center"/>
          </w:tcPr>
          <w:p>
            <w:pPr>
              <w:jc w:val="center"/>
              <w:rPr>
                <w:rFonts w:asciiTheme="minorHAnsi" w:hAnsiTheme="minorHAnsi" w:cstheme="minorHAnsi"/>
                <w:sz w:val="18"/>
                <w:szCs w:val="18"/>
                <w:lang w:val="es-EC"/>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55" w:hRule="atLeast"/>
        </w:trPr>
        <w:tc>
          <w:tcPr>
            <w:tcW w:w="1008" w:type="dxa"/>
            <w:tcBorders>
              <w:top w:val="single" w:color="auto" w:sz="6" w:space="0"/>
              <w:bottom w:val="single" w:color="auto" w:sz="6" w:space="0"/>
            </w:tcBorders>
            <w:vAlign w:val="center"/>
          </w:tcPr>
          <w:p>
            <w:pPr>
              <w:pStyle w:val="66"/>
              <w:numPr>
                <w:ilvl w:val="0"/>
                <w:numId w:val="0"/>
              </w:numPr>
              <w:spacing w:before="120"/>
              <w:jc w:val="center"/>
              <w:rPr>
                <w:rFonts w:asciiTheme="minorHAnsi" w:hAnsiTheme="minorHAnsi" w:cstheme="minorHAnsi"/>
                <w:kern w:val="0"/>
                <w:sz w:val="18"/>
                <w:szCs w:val="18"/>
                <w:lang w:val="es-EC"/>
              </w:rPr>
            </w:pPr>
            <w:r>
              <w:rPr>
                <w:rFonts w:asciiTheme="minorHAnsi" w:hAnsiTheme="minorHAnsi" w:cstheme="minorHAnsi"/>
                <w:kern w:val="0"/>
                <w:sz w:val="18"/>
                <w:szCs w:val="18"/>
                <w:lang w:val="es-EC"/>
              </w:rPr>
              <w:t>1</w:t>
            </w:r>
          </w:p>
        </w:tc>
        <w:tc>
          <w:tcPr>
            <w:tcW w:w="4230" w:type="dxa"/>
            <w:tcBorders>
              <w:top w:val="single" w:color="auto" w:sz="6" w:space="0"/>
              <w:bottom w:val="single" w:color="auto" w:sz="6" w:space="0"/>
            </w:tcBorders>
            <w:vAlign w:val="center"/>
          </w:tcPr>
          <w:p>
            <w:pPr>
              <w:pStyle w:val="64"/>
              <w:widowControl w:val="0"/>
              <w:spacing w:after="0" w:line="240" w:lineRule="auto"/>
              <w:ind w:left="0"/>
              <w:jc w:val="center"/>
              <w:rPr>
                <w:rFonts w:eastAsia="Times New Roman" w:asciiTheme="minorHAnsi" w:hAnsiTheme="minorHAnsi" w:cstheme="minorHAnsi"/>
                <w:bCs/>
                <w:iCs/>
                <w:color w:val="000000"/>
                <w:spacing w:val="-2"/>
                <w:sz w:val="18"/>
                <w:szCs w:val="18"/>
                <w:lang w:val="es-EC" w:eastAsia="es-EC"/>
              </w:rPr>
            </w:pPr>
            <w:r>
              <w:rPr>
                <w:rFonts w:asciiTheme="minorHAnsi" w:hAnsiTheme="minorHAnsi" w:cstheme="minorHAnsi"/>
                <w:iCs/>
                <w:sz w:val="18"/>
                <w:szCs w:val="18"/>
                <w:lang w:val="es-EC"/>
              </w:rPr>
              <w:t xml:space="preserve">Capacitación Técnica en instalación. Dirigido a todo el personal técnico de mantenimiento (opcional para el personal de la Dirección Nacional de Equipamiento Sanitario y Proyecto BID del MSP). </w:t>
            </w:r>
            <w:r>
              <w:rPr>
                <w:rFonts w:eastAsia="Times New Roman" w:asciiTheme="minorHAnsi" w:hAnsiTheme="minorHAnsi" w:cstheme="minorHAnsi"/>
                <w:bCs/>
                <w:iCs/>
                <w:color w:val="000000"/>
                <w:spacing w:val="-2"/>
                <w:sz w:val="18"/>
                <w:szCs w:val="18"/>
                <w:lang w:val="es-EC" w:eastAsia="es-EC"/>
              </w:rPr>
              <w:t>Se debe asegurar que el personal esté completamente familiarizado con el equipo y sus capacidades y/o prestaciones.</w:t>
            </w:r>
          </w:p>
        </w:tc>
        <w:tc>
          <w:tcPr>
            <w:tcW w:w="1890" w:type="dxa"/>
            <w:tcBorders>
              <w:top w:val="single" w:color="auto" w:sz="6" w:space="0"/>
              <w:bottom w:val="single" w:color="auto" w:sz="6" w:space="0"/>
            </w:tcBorders>
            <w:vAlign w:val="center"/>
          </w:tcPr>
          <w:p>
            <w:pPr>
              <w:pStyle w:val="66"/>
              <w:numPr>
                <w:ilvl w:val="0"/>
                <w:numId w:val="0"/>
              </w:numPr>
              <w:spacing w:before="120"/>
              <w:jc w:val="center"/>
              <w:rPr>
                <w:rFonts w:eastAsia="Calibri" w:asciiTheme="minorHAnsi" w:hAnsiTheme="minorHAnsi" w:cstheme="minorHAnsi"/>
                <w:iCs/>
                <w:kern w:val="0"/>
                <w:sz w:val="18"/>
                <w:szCs w:val="18"/>
                <w:lang w:val="es-EC"/>
              </w:rPr>
            </w:pPr>
            <w:r>
              <w:rPr>
                <w:rFonts w:eastAsia="Calibri" w:asciiTheme="minorHAnsi" w:hAnsiTheme="minorHAnsi" w:cstheme="minorHAnsi"/>
                <w:iCs/>
                <w:kern w:val="0"/>
                <w:sz w:val="18"/>
                <w:szCs w:val="18"/>
                <w:lang w:val="es-EC"/>
              </w:rPr>
              <w:t>1</w:t>
            </w:r>
          </w:p>
        </w:tc>
        <w:tc>
          <w:tcPr>
            <w:tcW w:w="1890" w:type="dxa"/>
            <w:tcBorders>
              <w:top w:val="single" w:color="auto" w:sz="6" w:space="0"/>
              <w:bottom w:val="single" w:color="auto" w:sz="6" w:space="0"/>
            </w:tcBorders>
            <w:vAlign w:val="center"/>
          </w:tcPr>
          <w:p>
            <w:pPr>
              <w:pStyle w:val="66"/>
              <w:numPr>
                <w:ilvl w:val="0"/>
                <w:numId w:val="0"/>
              </w:numPr>
              <w:spacing w:before="120"/>
              <w:jc w:val="center"/>
              <w:rPr>
                <w:rFonts w:eastAsia="Calibri" w:asciiTheme="minorHAnsi" w:hAnsiTheme="minorHAnsi" w:cstheme="minorHAnsi"/>
                <w:iCs/>
                <w:kern w:val="0"/>
                <w:sz w:val="18"/>
                <w:szCs w:val="18"/>
                <w:lang w:val="es-EC"/>
              </w:rPr>
            </w:pPr>
            <w:r>
              <w:rPr>
                <w:rFonts w:eastAsia="Calibri" w:asciiTheme="minorHAnsi" w:hAnsiTheme="minorHAnsi" w:cstheme="minorHAnsi"/>
                <w:iCs/>
                <w:kern w:val="0"/>
                <w:sz w:val="18"/>
                <w:szCs w:val="18"/>
                <w:lang w:val="es-EC"/>
              </w:rPr>
              <w:t>Taller</w:t>
            </w:r>
          </w:p>
        </w:tc>
        <w:tc>
          <w:tcPr>
            <w:tcW w:w="2340" w:type="dxa"/>
            <w:tcBorders>
              <w:top w:val="single" w:color="auto" w:sz="6" w:space="0"/>
              <w:bottom w:val="single" w:color="auto" w:sz="6" w:space="0"/>
            </w:tcBorders>
            <w:vAlign w:val="center"/>
          </w:tcPr>
          <w:p>
            <w:pPr>
              <w:pStyle w:val="66"/>
              <w:numPr>
                <w:ilvl w:val="0"/>
                <w:numId w:val="0"/>
              </w:numPr>
              <w:spacing w:before="120"/>
              <w:jc w:val="center"/>
              <w:rPr>
                <w:rFonts w:eastAsia="Calibri" w:asciiTheme="minorHAnsi" w:hAnsiTheme="minorHAnsi" w:cstheme="minorHAnsi"/>
                <w:iCs/>
                <w:kern w:val="0"/>
                <w:sz w:val="18"/>
                <w:szCs w:val="18"/>
                <w:lang w:val="es-EC"/>
              </w:rPr>
            </w:pPr>
            <w:r>
              <w:rPr>
                <w:rFonts w:eastAsia="Calibri" w:asciiTheme="minorHAnsi" w:hAnsiTheme="minorHAnsi" w:cstheme="minorHAnsi"/>
                <w:iCs/>
                <w:kern w:val="0"/>
                <w:sz w:val="18"/>
                <w:szCs w:val="18"/>
                <w:lang w:val="es-EC"/>
              </w:rPr>
              <w:t>Instalaciones de los Hospitales a proveer el servicio</w:t>
            </w:r>
          </w:p>
        </w:tc>
        <w:tc>
          <w:tcPr>
            <w:tcW w:w="1620" w:type="dxa"/>
            <w:tcBorders>
              <w:top w:val="single" w:color="auto" w:sz="6" w:space="0"/>
              <w:bottom w:val="single" w:color="auto" w:sz="6" w:space="0"/>
            </w:tcBorders>
            <w:vAlign w:val="center"/>
          </w:tcPr>
          <w:p>
            <w:pPr>
              <w:pStyle w:val="66"/>
              <w:numPr>
                <w:ilvl w:val="0"/>
                <w:numId w:val="0"/>
              </w:numPr>
              <w:spacing w:before="120"/>
              <w:jc w:val="center"/>
              <w:rPr>
                <w:rFonts w:eastAsia="Calibri" w:asciiTheme="minorHAnsi" w:hAnsiTheme="minorHAnsi" w:cstheme="minorHAnsi"/>
                <w:iCs/>
                <w:kern w:val="0"/>
                <w:sz w:val="18"/>
                <w:szCs w:val="18"/>
                <w:lang w:val="es-EC"/>
              </w:rPr>
            </w:pPr>
            <w:r>
              <w:rPr>
                <w:rFonts w:eastAsia="Calibri" w:asciiTheme="minorHAnsi" w:hAnsiTheme="minorHAnsi" w:cstheme="minorHAnsi"/>
                <w:iCs/>
                <w:kern w:val="0"/>
                <w:sz w:val="18"/>
                <w:szCs w:val="18"/>
                <w:lang w:val="es-EC"/>
              </w:rPr>
              <w:t>Al finalizar el proceso de instalación y entrega del equipo, en un tiempo no mayor a cinco (5) días,</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55" w:hRule="atLeast"/>
        </w:trPr>
        <w:tc>
          <w:tcPr>
            <w:tcW w:w="1008" w:type="dxa"/>
            <w:tcBorders>
              <w:top w:val="single" w:color="auto" w:sz="6" w:space="0"/>
              <w:bottom w:val="single" w:color="auto" w:sz="6" w:space="0"/>
            </w:tcBorders>
            <w:vAlign w:val="center"/>
          </w:tcPr>
          <w:p>
            <w:pPr>
              <w:pStyle w:val="66"/>
              <w:numPr>
                <w:ilvl w:val="0"/>
                <w:numId w:val="0"/>
              </w:numPr>
              <w:spacing w:before="120"/>
              <w:jc w:val="center"/>
              <w:rPr>
                <w:rFonts w:asciiTheme="minorHAnsi" w:hAnsiTheme="minorHAnsi" w:cstheme="minorHAnsi"/>
                <w:sz w:val="18"/>
                <w:szCs w:val="18"/>
                <w:lang w:val="es-EC"/>
              </w:rPr>
            </w:pPr>
            <w:r>
              <w:rPr>
                <w:rFonts w:asciiTheme="minorHAnsi" w:hAnsiTheme="minorHAnsi" w:cstheme="minorHAnsi"/>
                <w:sz w:val="18"/>
                <w:szCs w:val="18"/>
                <w:lang w:val="es-EC"/>
              </w:rPr>
              <w:t>2</w:t>
            </w:r>
          </w:p>
        </w:tc>
        <w:tc>
          <w:tcPr>
            <w:tcW w:w="4230" w:type="dxa"/>
            <w:tcBorders>
              <w:top w:val="single" w:color="auto" w:sz="6" w:space="0"/>
              <w:bottom w:val="single" w:color="auto" w:sz="6" w:space="0"/>
            </w:tcBorders>
            <w:vAlign w:val="center"/>
          </w:tcPr>
          <w:p>
            <w:pPr>
              <w:pStyle w:val="64"/>
              <w:widowControl w:val="0"/>
              <w:spacing w:after="0" w:line="240" w:lineRule="auto"/>
              <w:ind w:left="0"/>
              <w:jc w:val="center"/>
              <w:rPr>
                <w:rFonts w:eastAsia="Times New Roman" w:asciiTheme="minorHAnsi" w:hAnsiTheme="minorHAnsi" w:cstheme="minorHAnsi"/>
                <w:sz w:val="18"/>
                <w:szCs w:val="18"/>
                <w:lang w:val="es-EC" w:eastAsia="es-EC"/>
              </w:rPr>
            </w:pPr>
            <w:r>
              <w:rPr>
                <w:rFonts w:asciiTheme="minorHAnsi" w:hAnsiTheme="minorHAnsi" w:cstheme="minorHAnsi"/>
                <w:iCs/>
                <w:sz w:val="18"/>
                <w:szCs w:val="18"/>
                <w:lang w:val="es-EC"/>
              </w:rPr>
              <w:t xml:space="preserve">Capacitación Técnica en instalación. Dirigido a todo el personal técnico de mantenimiento (opcional para el personal de la Dirección Nacional de Equipamiento Sanitario y Proyecto BID del MSP); y, </w:t>
            </w:r>
            <w:r>
              <w:rPr>
                <w:rFonts w:eastAsia="Times New Roman" w:asciiTheme="minorHAnsi" w:hAnsiTheme="minorHAnsi" w:cstheme="minorHAnsi"/>
                <w:bCs/>
                <w:iCs/>
                <w:color w:val="000000"/>
                <w:spacing w:val="-2"/>
                <w:sz w:val="18"/>
                <w:szCs w:val="18"/>
                <w:lang w:val="es-EC" w:eastAsia="es-EC"/>
              </w:rPr>
              <w:t>Tratará acerca de las bases técnicas del equipo.</w:t>
            </w:r>
          </w:p>
        </w:tc>
        <w:tc>
          <w:tcPr>
            <w:tcW w:w="1890" w:type="dxa"/>
            <w:tcBorders>
              <w:top w:val="single" w:color="auto" w:sz="6" w:space="0"/>
              <w:bottom w:val="single" w:color="auto" w:sz="6" w:space="0"/>
            </w:tcBorders>
            <w:vAlign w:val="center"/>
          </w:tcPr>
          <w:p>
            <w:pPr>
              <w:pStyle w:val="66"/>
              <w:numPr>
                <w:ilvl w:val="0"/>
                <w:numId w:val="0"/>
              </w:numPr>
              <w:spacing w:before="120"/>
              <w:jc w:val="center"/>
              <w:rPr>
                <w:rFonts w:asciiTheme="minorHAnsi" w:hAnsiTheme="minorHAnsi" w:cstheme="minorHAnsi"/>
                <w:kern w:val="0"/>
                <w:sz w:val="18"/>
                <w:szCs w:val="18"/>
                <w:lang w:val="es-EC"/>
              </w:rPr>
            </w:pPr>
            <w:r>
              <w:rPr>
                <w:rFonts w:asciiTheme="minorHAnsi" w:hAnsiTheme="minorHAnsi" w:cstheme="minorHAnsi"/>
                <w:kern w:val="0"/>
                <w:sz w:val="18"/>
                <w:szCs w:val="18"/>
                <w:lang w:val="es-EC"/>
              </w:rPr>
              <w:t>1</w:t>
            </w:r>
          </w:p>
        </w:tc>
        <w:tc>
          <w:tcPr>
            <w:tcW w:w="1890" w:type="dxa"/>
            <w:tcBorders>
              <w:top w:val="single" w:color="auto" w:sz="6" w:space="0"/>
              <w:bottom w:val="single" w:color="auto" w:sz="6" w:space="0"/>
            </w:tcBorders>
            <w:vAlign w:val="center"/>
          </w:tcPr>
          <w:p>
            <w:pPr>
              <w:pStyle w:val="66"/>
              <w:numPr>
                <w:ilvl w:val="0"/>
                <w:numId w:val="0"/>
              </w:numPr>
              <w:spacing w:before="120"/>
              <w:jc w:val="center"/>
              <w:rPr>
                <w:rFonts w:asciiTheme="minorHAnsi" w:hAnsiTheme="minorHAnsi" w:cstheme="minorHAnsi"/>
                <w:kern w:val="0"/>
                <w:sz w:val="18"/>
                <w:szCs w:val="18"/>
                <w:lang w:val="es-EC"/>
              </w:rPr>
            </w:pPr>
            <w:r>
              <w:rPr>
                <w:rFonts w:asciiTheme="minorHAnsi" w:hAnsiTheme="minorHAnsi" w:cstheme="minorHAnsi"/>
                <w:kern w:val="0"/>
                <w:sz w:val="18"/>
                <w:szCs w:val="18"/>
                <w:lang w:val="es-EC"/>
              </w:rPr>
              <w:t>Taller</w:t>
            </w:r>
          </w:p>
        </w:tc>
        <w:tc>
          <w:tcPr>
            <w:tcW w:w="234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Instalaciones de los Hospitales a proveer el servicio</w:t>
            </w:r>
          </w:p>
        </w:tc>
        <w:tc>
          <w:tcPr>
            <w:tcW w:w="1620" w:type="dxa"/>
            <w:tcBorders>
              <w:top w:val="single" w:color="auto" w:sz="6" w:space="0"/>
              <w:bottom w:val="single" w:color="auto" w:sz="6" w:space="0"/>
            </w:tcBorders>
            <w:vAlign w:val="center"/>
          </w:tcPr>
          <w:p>
            <w:pPr>
              <w:pStyle w:val="64"/>
              <w:spacing w:after="0" w:line="240" w:lineRule="auto"/>
              <w:ind w:left="0"/>
              <w:jc w:val="center"/>
              <w:rPr>
                <w:rFonts w:asciiTheme="minorHAnsi" w:hAnsiTheme="minorHAnsi" w:cstheme="minorHAnsi"/>
                <w:iCs/>
                <w:sz w:val="18"/>
                <w:szCs w:val="18"/>
                <w:lang w:val="es-EC"/>
              </w:rPr>
            </w:pPr>
            <w:r>
              <w:rPr>
                <w:rFonts w:eastAsia="Times New Roman" w:asciiTheme="minorHAnsi" w:hAnsiTheme="minorHAnsi" w:cstheme="minorHAnsi"/>
                <w:bCs/>
                <w:iCs/>
                <w:color w:val="000000"/>
                <w:spacing w:val="-2"/>
                <w:sz w:val="18"/>
                <w:szCs w:val="18"/>
                <w:lang w:val="es-EC" w:eastAsia="es-EC"/>
              </w:rPr>
              <w:t>Quince (15) días posteriores a la primera capacitación</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55" w:hRule="atLeast"/>
        </w:trPr>
        <w:tc>
          <w:tcPr>
            <w:tcW w:w="1008" w:type="dxa"/>
            <w:tcBorders>
              <w:top w:val="single" w:color="auto" w:sz="6" w:space="0"/>
              <w:bottom w:val="single" w:color="auto" w:sz="6" w:space="0"/>
            </w:tcBorders>
            <w:vAlign w:val="center"/>
          </w:tcPr>
          <w:p>
            <w:pPr>
              <w:pStyle w:val="66"/>
              <w:numPr>
                <w:ilvl w:val="0"/>
                <w:numId w:val="0"/>
              </w:numPr>
              <w:spacing w:before="120"/>
              <w:jc w:val="center"/>
              <w:rPr>
                <w:rFonts w:asciiTheme="minorHAnsi" w:hAnsiTheme="minorHAnsi" w:cstheme="minorHAnsi"/>
                <w:sz w:val="18"/>
                <w:szCs w:val="18"/>
                <w:lang w:val="es-EC"/>
              </w:rPr>
            </w:pPr>
            <w:r>
              <w:rPr>
                <w:rFonts w:asciiTheme="minorHAnsi" w:hAnsiTheme="minorHAnsi" w:cstheme="minorHAnsi"/>
                <w:sz w:val="18"/>
                <w:szCs w:val="18"/>
                <w:lang w:val="es-EC"/>
              </w:rPr>
              <w:t>3</w:t>
            </w:r>
          </w:p>
        </w:tc>
        <w:tc>
          <w:tcPr>
            <w:tcW w:w="4230" w:type="dxa"/>
            <w:tcBorders>
              <w:top w:val="single" w:color="auto" w:sz="6" w:space="0"/>
              <w:bottom w:val="single" w:color="auto" w:sz="6" w:space="0"/>
            </w:tcBorders>
            <w:vAlign w:val="center"/>
          </w:tcPr>
          <w:p>
            <w:pPr>
              <w:pStyle w:val="64"/>
              <w:spacing w:after="0" w:line="240" w:lineRule="auto"/>
              <w:ind w:left="0"/>
              <w:jc w:val="center"/>
              <w:rPr>
                <w:rFonts w:asciiTheme="minorHAnsi" w:hAnsiTheme="minorHAnsi" w:cstheme="minorHAnsi"/>
                <w:sz w:val="18"/>
                <w:szCs w:val="18"/>
                <w:lang w:val="es-EC"/>
              </w:rPr>
            </w:pPr>
            <w:r>
              <w:rPr>
                <w:rFonts w:asciiTheme="minorHAnsi" w:hAnsiTheme="minorHAnsi" w:cstheme="minorHAnsi"/>
                <w:iCs/>
                <w:sz w:val="18"/>
                <w:szCs w:val="18"/>
                <w:lang w:val="es-EC"/>
              </w:rPr>
              <w:t>Capacitación Técnica en instalación. Para los profesionales de la salud que operan el equipo hospitalario. Se debe asegurar que el personal esté completamente familiarizado con el equipo y sus capacidades y/o prestaciones.</w:t>
            </w:r>
          </w:p>
        </w:tc>
        <w:tc>
          <w:tcPr>
            <w:tcW w:w="189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1</w:t>
            </w:r>
          </w:p>
        </w:tc>
        <w:tc>
          <w:tcPr>
            <w:tcW w:w="189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Taller</w:t>
            </w:r>
          </w:p>
        </w:tc>
        <w:tc>
          <w:tcPr>
            <w:tcW w:w="234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Instalaciones de los Hospitales a proveer el servicio</w:t>
            </w:r>
          </w:p>
        </w:tc>
        <w:tc>
          <w:tcPr>
            <w:tcW w:w="1620" w:type="dxa"/>
            <w:tcBorders>
              <w:top w:val="single" w:color="auto" w:sz="6" w:space="0"/>
              <w:bottom w:val="single" w:color="auto" w:sz="6" w:space="0"/>
            </w:tcBorders>
            <w:vAlign w:val="center"/>
          </w:tcPr>
          <w:p>
            <w:pPr>
              <w:pStyle w:val="64"/>
              <w:spacing w:after="0" w:line="240" w:lineRule="auto"/>
              <w:ind w:left="0"/>
              <w:jc w:val="center"/>
              <w:rPr>
                <w:rFonts w:asciiTheme="minorHAnsi" w:hAnsiTheme="minorHAnsi" w:cstheme="minorHAnsi"/>
                <w:iCs/>
                <w:sz w:val="18"/>
                <w:szCs w:val="18"/>
                <w:lang w:val="es-EC"/>
              </w:rPr>
            </w:pPr>
            <w:r>
              <w:rPr>
                <w:rFonts w:asciiTheme="minorHAnsi" w:hAnsiTheme="minorHAnsi" w:cstheme="minorHAnsi"/>
                <w:iCs/>
                <w:sz w:val="18"/>
                <w:szCs w:val="18"/>
                <w:lang w:val="es-EC"/>
              </w:rPr>
              <w:t>Al finalizar la instalación y entrega del equipo, en un tiempo no mayor a cinco (5) días</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55" w:hRule="atLeast"/>
        </w:trPr>
        <w:tc>
          <w:tcPr>
            <w:tcW w:w="1008" w:type="dxa"/>
            <w:tcBorders>
              <w:top w:val="single" w:color="auto" w:sz="6" w:space="0"/>
              <w:bottom w:val="single" w:color="auto" w:sz="6" w:space="0"/>
            </w:tcBorders>
            <w:vAlign w:val="center"/>
          </w:tcPr>
          <w:p>
            <w:pPr>
              <w:pStyle w:val="66"/>
              <w:numPr>
                <w:ilvl w:val="0"/>
                <w:numId w:val="0"/>
              </w:numPr>
              <w:spacing w:before="120"/>
              <w:jc w:val="center"/>
              <w:rPr>
                <w:rFonts w:asciiTheme="minorHAnsi" w:hAnsiTheme="minorHAnsi" w:cstheme="minorHAnsi"/>
                <w:sz w:val="18"/>
                <w:szCs w:val="18"/>
                <w:lang w:val="es-EC"/>
              </w:rPr>
            </w:pPr>
            <w:r>
              <w:rPr>
                <w:rFonts w:asciiTheme="minorHAnsi" w:hAnsiTheme="minorHAnsi" w:cstheme="minorHAnsi"/>
                <w:sz w:val="18"/>
                <w:szCs w:val="18"/>
                <w:lang w:val="es-EC"/>
              </w:rPr>
              <w:t>4</w:t>
            </w:r>
          </w:p>
        </w:tc>
        <w:tc>
          <w:tcPr>
            <w:tcW w:w="4230" w:type="dxa"/>
            <w:tcBorders>
              <w:top w:val="single" w:color="auto" w:sz="6" w:space="0"/>
              <w:bottom w:val="single" w:color="auto" w:sz="6" w:space="0"/>
            </w:tcBorders>
            <w:vAlign w:val="center"/>
          </w:tcPr>
          <w:p>
            <w:pPr>
              <w:pStyle w:val="64"/>
              <w:spacing w:after="0" w:line="240" w:lineRule="auto"/>
              <w:ind w:left="0"/>
              <w:jc w:val="center"/>
              <w:rPr>
                <w:rFonts w:asciiTheme="minorHAnsi" w:hAnsiTheme="minorHAnsi" w:cstheme="minorHAnsi"/>
                <w:iCs/>
                <w:sz w:val="18"/>
                <w:szCs w:val="18"/>
                <w:lang w:val="es-EC"/>
              </w:rPr>
            </w:pPr>
            <w:r>
              <w:rPr>
                <w:rFonts w:asciiTheme="minorHAnsi" w:hAnsiTheme="minorHAnsi" w:cstheme="minorHAnsi"/>
                <w:iCs/>
                <w:sz w:val="18"/>
                <w:szCs w:val="18"/>
                <w:lang w:val="es-EC"/>
              </w:rPr>
              <w:t>Capacitación Técnica en instalación. Para los profesionales de la salud que operan el equipo hospitalario. Refuerzo a la inicial.</w:t>
            </w:r>
          </w:p>
        </w:tc>
        <w:tc>
          <w:tcPr>
            <w:tcW w:w="189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1</w:t>
            </w:r>
          </w:p>
        </w:tc>
        <w:tc>
          <w:tcPr>
            <w:tcW w:w="189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Taller</w:t>
            </w:r>
          </w:p>
        </w:tc>
        <w:tc>
          <w:tcPr>
            <w:tcW w:w="234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Instalaciones de los Hospitales a proveer el servicio</w:t>
            </w:r>
          </w:p>
        </w:tc>
        <w:tc>
          <w:tcPr>
            <w:tcW w:w="1620" w:type="dxa"/>
            <w:tcBorders>
              <w:top w:val="single" w:color="auto" w:sz="6" w:space="0"/>
              <w:bottom w:val="single" w:color="auto" w:sz="6" w:space="0"/>
            </w:tcBorders>
            <w:vAlign w:val="center"/>
          </w:tcPr>
          <w:p>
            <w:pPr>
              <w:pStyle w:val="64"/>
              <w:spacing w:after="0" w:line="240" w:lineRule="auto"/>
              <w:ind w:left="0"/>
              <w:jc w:val="center"/>
              <w:rPr>
                <w:rFonts w:asciiTheme="minorHAnsi" w:hAnsiTheme="minorHAnsi" w:cstheme="minorHAnsi"/>
                <w:iCs/>
                <w:sz w:val="18"/>
                <w:szCs w:val="18"/>
                <w:lang w:val="es-EC"/>
              </w:rPr>
            </w:pPr>
            <w:r>
              <w:rPr>
                <w:rFonts w:eastAsia="Times New Roman" w:asciiTheme="minorHAnsi" w:hAnsiTheme="minorHAnsi" w:cstheme="minorHAnsi"/>
                <w:bCs/>
                <w:iCs/>
                <w:color w:val="000000"/>
                <w:spacing w:val="-2"/>
                <w:sz w:val="18"/>
                <w:szCs w:val="18"/>
                <w:lang w:val="es-EC" w:eastAsia="es-EC"/>
              </w:rPr>
              <w:t>Quince (15) días posteriores a la primera capacitación</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55" w:hRule="atLeast"/>
        </w:trPr>
        <w:tc>
          <w:tcPr>
            <w:tcW w:w="1008" w:type="dxa"/>
            <w:tcBorders>
              <w:top w:val="single" w:color="auto" w:sz="6" w:space="0"/>
              <w:bottom w:val="single" w:color="auto" w:sz="6" w:space="0"/>
            </w:tcBorders>
            <w:vAlign w:val="center"/>
          </w:tcPr>
          <w:p>
            <w:pPr>
              <w:pStyle w:val="66"/>
              <w:numPr>
                <w:ilvl w:val="0"/>
                <w:numId w:val="0"/>
              </w:numPr>
              <w:spacing w:before="120"/>
              <w:jc w:val="center"/>
              <w:rPr>
                <w:rFonts w:asciiTheme="minorHAnsi" w:hAnsiTheme="minorHAnsi" w:cstheme="minorHAnsi"/>
                <w:sz w:val="18"/>
                <w:szCs w:val="18"/>
                <w:lang w:val="es-EC"/>
              </w:rPr>
            </w:pPr>
            <w:r>
              <w:rPr>
                <w:rFonts w:asciiTheme="minorHAnsi" w:hAnsiTheme="minorHAnsi" w:cstheme="minorHAnsi"/>
                <w:sz w:val="18"/>
                <w:szCs w:val="18"/>
                <w:lang w:val="es-EC"/>
              </w:rPr>
              <w:t>5</w:t>
            </w:r>
          </w:p>
        </w:tc>
        <w:tc>
          <w:tcPr>
            <w:tcW w:w="4230" w:type="dxa"/>
            <w:tcBorders>
              <w:top w:val="single" w:color="auto" w:sz="6" w:space="0"/>
              <w:bottom w:val="single" w:color="auto" w:sz="6" w:space="0"/>
            </w:tcBorders>
            <w:vAlign w:val="center"/>
          </w:tcPr>
          <w:p>
            <w:pPr>
              <w:pStyle w:val="64"/>
              <w:spacing w:after="120" w:line="240" w:lineRule="auto"/>
              <w:ind w:left="0"/>
              <w:jc w:val="center"/>
              <w:rPr>
                <w:rFonts w:asciiTheme="minorHAnsi" w:hAnsiTheme="minorHAnsi" w:cstheme="minorHAnsi"/>
                <w:sz w:val="18"/>
                <w:szCs w:val="18"/>
                <w:lang w:val="es-EC"/>
              </w:rPr>
            </w:pPr>
            <w:r>
              <w:rPr>
                <w:rFonts w:asciiTheme="minorHAnsi" w:hAnsiTheme="minorHAnsi" w:cstheme="minorHAnsi"/>
                <w:iCs/>
                <w:sz w:val="18"/>
                <w:szCs w:val="18"/>
                <w:lang w:val="es-EC"/>
              </w:rPr>
              <w:t>Mantenimiento Preventivo Periódico (Garantía de fábrica).</w:t>
            </w:r>
          </w:p>
        </w:tc>
        <w:tc>
          <w:tcPr>
            <w:tcW w:w="189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(Según lo establecido en cada equipo – especificaciones técnicas)</w:t>
            </w:r>
          </w:p>
        </w:tc>
        <w:tc>
          <w:tcPr>
            <w:tcW w:w="189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Global</w:t>
            </w:r>
          </w:p>
        </w:tc>
        <w:tc>
          <w:tcPr>
            <w:tcW w:w="234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Instalaciones de los Hospitales donde se instaló El equipo</w:t>
            </w:r>
          </w:p>
        </w:tc>
        <w:tc>
          <w:tcPr>
            <w:tcW w:w="1620" w:type="dxa"/>
            <w:tcBorders>
              <w:top w:val="single" w:color="auto" w:sz="6" w:space="0"/>
              <w:bottom w:val="single" w:color="auto" w:sz="6" w:space="0"/>
            </w:tcBorders>
            <w:vAlign w:val="center"/>
          </w:tcPr>
          <w:p>
            <w:pPr>
              <w:pStyle w:val="64"/>
              <w:spacing w:after="0" w:line="240" w:lineRule="auto"/>
              <w:ind w:left="0"/>
              <w:jc w:val="center"/>
              <w:rPr>
                <w:rFonts w:asciiTheme="minorHAnsi" w:hAnsiTheme="minorHAnsi" w:cstheme="minorHAnsi"/>
                <w:iCs/>
                <w:sz w:val="18"/>
                <w:szCs w:val="18"/>
                <w:lang w:val="es-EC"/>
              </w:rPr>
            </w:pPr>
            <w:r>
              <w:rPr>
                <w:rFonts w:asciiTheme="minorHAnsi" w:hAnsiTheme="minorHAnsi" w:cstheme="minorHAnsi"/>
                <w:iCs/>
                <w:sz w:val="18"/>
                <w:szCs w:val="18"/>
                <w:lang w:val="es-EC"/>
              </w:rPr>
              <w:t>(Según lo establecido en cada equipo – especificaciones técnicas)</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55" w:hRule="atLeast"/>
        </w:trPr>
        <w:tc>
          <w:tcPr>
            <w:tcW w:w="1008" w:type="dxa"/>
            <w:tcBorders>
              <w:top w:val="single" w:color="auto" w:sz="6" w:space="0"/>
              <w:bottom w:val="single" w:color="auto" w:sz="6" w:space="0"/>
            </w:tcBorders>
            <w:vAlign w:val="center"/>
          </w:tcPr>
          <w:p>
            <w:pPr>
              <w:pStyle w:val="66"/>
              <w:numPr>
                <w:ilvl w:val="0"/>
                <w:numId w:val="0"/>
              </w:numPr>
              <w:spacing w:before="120"/>
              <w:jc w:val="center"/>
              <w:rPr>
                <w:rFonts w:asciiTheme="minorHAnsi" w:hAnsiTheme="minorHAnsi" w:cstheme="minorHAnsi"/>
                <w:sz w:val="18"/>
                <w:szCs w:val="18"/>
                <w:lang w:val="es-EC"/>
              </w:rPr>
            </w:pPr>
            <w:r>
              <w:rPr>
                <w:rFonts w:asciiTheme="minorHAnsi" w:hAnsiTheme="minorHAnsi" w:cstheme="minorHAnsi"/>
                <w:sz w:val="18"/>
                <w:szCs w:val="18"/>
                <w:lang w:val="es-EC"/>
              </w:rPr>
              <w:t>6</w:t>
            </w:r>
          </w:p>
        </w:tc>
        <w:tc>
          <w:tcPr>
            <w:tcW w:w="4230" w:type="dxa"/>
            <w:tcBorders>
              <w:top w:val="single" w:color="auto" w:sz="6" w:space="0"/>
              <w:bottom w:val="single" w:color="auto" w:sz="6" w:space="0"/>
            </w:tcBorders>
            <w:vAlign w:val="center"/>
          </w:tcPr>
          <w:p>
            <w:pPr>
              <w:pStyle w:val="64"/>
              <w:spacing w:after="0" w:line="240" w:lineRule="auto"/>
              <w:ind w:left="0"/>
              <w:jc w:val="center"/>
              <w:rPr>
                <w:rFonts w:asciiTheme="minorHAnsi" w:hAnsiTheme="minorHAnsi" w:cstheme="minorHAnsi"/>
                <w:iCs/>
                <w:sz w:val="18"/>
                <w:szCs w:val="18"/>
                <w:lang w:val="es-EC"/>
              </w:rPr>
            </w:pPr>
            <w:r>
              <w:rPr>
                <w:rFonts w:asciiTheme="minorHAnsi" w:hAnsiTheme="minorHAnsi" w:cstheme="minorHAnsi"/>
                <w:iCs/>
                <w:sz w:val="18"/>
                <w:szCs w:val="18"/>
                <w:lang w:val="es-EC"/>
              </w:rPr>
              <w:t>* Agente afianzado</w:t>
            </w:r>
          </w:p>
          <w:p>
            <w:pPr>
              <w:pStyle w:val="64"/>
              <w:spacing w:after="0" w:line="240" w:lineRule="auto"/>
              <w:ind w:left="0"/>
              <w:jc w:val="center"/>
              <w:rPr>
                <w:rFonts w:asciiTheme="minorHAnsi" w:hAnsiTheme="minorHAnsi" w:cstheme="minorHAnsi"/>
                <w:iCs/>
                <w:sz w:val="18"/>
                <w:szCs w:val="18"/>
                <w:lang w:val="es-EC"/>
              </w:rPr>
            </w:pPr>
            <w:r>
              <w:rPr>
                <w:rFonts w:asciiTheme="minorHAnsi" w:hAnsiTheme="minorHAnsi" w:cstheme="minorHAnsi"/>
                <w:iCs/>
                <w:sz w:val="18"/>
                <w:szCs w:val="18"/>
                <w:lang w:val="es-EC"/>
              </w:rPr>
              <w:t>Considerar los costos relacionados a los servicios de agente afianzado, transporte interno, distribución hasta las unidades de salud, instalación y puesta en servicio de los bienes. El Proveedor a nombre del Comprador gestionará la licencia de importación y realizará a su costo y con su propio agente afianzado el proceso de nacionalización de los bienes adjudicados.</w:t>
            </w:r>
          </w:p>
        </w:tc>
        <w:tc>
          <w:tcPr>
            <w:tcW w:w="189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1</w:t>
            </w:r>
          </w:p>
        </w:tc>
        <w:tc>
          <w:tcPr>
            <w:tcW w:w="189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p>
        </w:tc>
        <w:tc>
          <w:tcPr>
            <w:tcW w:w="2340" w:type="dxa"/>
            <w:tcBorders>
              <w:top w:val="single" w:color="auto" w:sz="6" w:space="0"/>
              <w:bottom w:val="single" w:color="auto" w:sz="6" w:space="0"/>
            </w:tcBorders>
            <w:vAlign w:val="center"/>
          </w:tcPr>
          <w:p>
            <w:pPr>
              <w:jc w:val="center"/>
              <w:rPr>
                <w:rFonts w:asciiTheme="minorHAnsi" w:hAnsiTheme="minorHAnsi" w:cstheme="minorHAnsi"/>
                <w:iCs/>
                <w:sz w:val="18"/>
                <w:szCs w:val="18"/>
                <w:lang w:val="es-EC"/>
              </w:rPr>
            </w:pPr>
            <w:r>
              <w:rPr>
                <w:rFonts w:asciiTheme="minorHAnsi" w:hAnsiTheme="minorHAnsi" w:cstheme="minorHAnsi"/>
                <w:iCs/>
                <w:sz w:val="18"/>
                <w:szCs w:val="18"/>
                <w:lang w:val="es-EC"/>
              </w:rPr>
              <w:t>Instalaciones</w:t>
            </w:r>
          </w:p>
        </w:tc>
        <w:tc>
          <w:tcPr>
            <w:tcW w:w="1620" w:type="dxa"/>
            <w:tcBorders>
              <w:top w:val="single" w:color="auto" w:sz="6" w:space="0"/>
              <w:bottom w:val="single" w:color="auto" w:sz="6" w:space="0"/>
            </w:tcBorders>
            <w:vAlign w:val="center"/>
          </w:tcPr>
          <w:p>
            <w:pPr>
              <w:pStyle w:val="64"/>
              <w:spacing w:after="0" w:line="240" w:lineRule="auto"/>
              <w:ind w:left="0"/>
              <w:jc w:val="center"/>
              <w:rPr>
                <w:rFonts w:asciiTheme="minorHAnsi" w:hAnsiTheme="minorHAnsi" w:cstheme="minorHAnsi"/>
                <w:iCs/>
                <w:sz w:val="18"/>
                <w:szCs w:val="18"/>
                <w:lang w:val="es-EC"/>
              </w:rPr>
            </w:pPr>
            <w:r>
              <w:rPr>
                <w:rFonts w:asciiTheme="minorHAnsi" w:hAnsiTheme="minorHAnsi" w:cstheme="minorHAnsi"/>
                <w:iCs/>
                <w:sz w:val="18"/>
                <w:szCs w:val="18"/>
                <w:lang w:val="es-EC"/>
              </w:rPr>
              <w:t>Cuando los equipos se encuentran en el lugar donde serán instalados</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55" w:hRule="atLeast"/>
        </w:trPr>
        <w:tc>
          <w:tcPr>
            <w:tcW w:w="1008" w:type="dxa"/>
            <w:tcBorders>
              <w:top w:val="single" w:color="auto" w:sz="6" w:space="0"/>
              <w:bottom w:val="single" w:color="auto" w:sz="6" w:space="0"/>
            </w:tcBorders>
            <w:vAlign w:val="center"/>
          </w:tcPr>
          <w:p>
            <w:pPr>
              <w:pStyle w:val="66"/>
              <w:numPr>
                <w:ilvl w:val="0"/>
                <w:numId w:val="0"/>
              </w:numPr>
              <w:spacing w:before="120"/>
              <w:jc w:val="center"/>
              <w:rPr>
                <w:rFonts w:asciiTheme="minorHAnsi" w:hAnsiTheme="minorHAnsi" w:cstheme="minorHAnsi"/>
                <w:sz w:val="18"/>
                <w:szCs w:val="18"/>
                <w:lang w:val="es-EC"/>
              </w:rPr>
            </w:pPr>
            <w:r>
              <w:rPr>
                <w:rFonts w:asciiTheme="minorHAnsi" w:hAnsiTheme="minorHAnsi" w:cstheme="minorHAnsi"/>
                <w:sz w:val="18"/>
                <w:szCs w:val="18"/>
                <w:lang w:val="es-EC"/>
              </w:rPr>
              <w:t>7</w:t>
            </w:r>
          </w:p>
        </w:tc>
        <w:tc>
          <w:tcPr>
            <w:tcW w:w="4230" w:type="dxa"/>
            <w:tcBorders>
              <w:top w:val="single" w:color="auto" w:sz="6" w:space="0"/>
              <w:bottom w:val="single" w:color="auto" w:sz="6" w:space="0"/>
            </w:tcBorders>
            <w:vAlign w:val="center"/>
          </w:tcPr>
          <w:p>
            <w:pPr>
              <w:pStyle w:val="64"/>
              <w:spacing w:after="0" w:line="240" w:lineRule="auto"/>
              <w:ind w:left="0"/>
              <w:jc w:val="center"/>
              <w:rPr>
                <w:rFonts w:asciiTheme="minorHAnsi" w:hAnsiTheme="minorHAnsi" w:cstheme="minorHAnsi"/>
                <w:iCs/>
                <w:sz w:val="18"/>
                <w:szCs w:val="18"/>
                <w:lang w:val="es-EC"/>
              </w:rPr>
            </w:pPr>
            <w:r>
              <w:rPr>
                <w:rFonts w:asciiTheme="minorHAnsi" w:hAnsiTheme="minorHAnsi" w:cstheme="minorHAnsi"/>
                <w:iCs/>
                <w:sz w:val="18"/>
                <w:szCs w:val="18"/>
                <w:lang w:val="es-EC"/>
              </w:rPr>
              <w:t>Instalación y puesta en marcha</w:t>
            </w:r>
          </w:p>
        </w:tc>
        <w:tc>
          <w:tcPr>
            <w:tcW w:w="1890" w:type="dxa"/>
            <w:tcBorders>
              <w:top w:val="single" w:color="auto" w:sz="6" w:space="0"/>
              <w:bottom w:val="single" w:color="auto" w:sz="6" w:space="0"/>
            </w:tcBorders>
            <w:vAlign w:val="center"/>
          </w:tcPr>
          <w:p>
            <w:pPr>
              <w:jc w:val="center"/>
              <w:rPr>
                <w:rFonts w:asciiTheme="minorHAnsi" w:hAnsiTheme="minorHAnsi" w:cstheme="minorHAnsi"/>
                <w:sz w:val="18"/>
                <w:szCs w:val="18"/>
                <w:lang w:val="es-EC"/>
              </w:rPr>
            </w:pPr>
            <w:r>
              <w:rPr>
                <w:rFonts w:asciiTheme="minorHAnsi" w:hAnsiTheme="minorHAnsi" w:cstheme="minorHAnsi"/>
                <w:iCs/>
                <w:sz w:val="18"/>
                <w:szCs w:val="18"/>
                <w:lang w:val="es-EC"/>
              </w:rPr>
              <w:t>(Según lo establecido en cada equipo – especificaciones técnicas)</w:t>
            </w:r>
          </w:p>
        </w:tc>
        <w:tc>
          <w:tcPr>
            <w:tcW w:w="1890" w:type="dxa"/>
            <w:tcBorders>
              <w:top w:val="single" w:color="auto" w:sz="6" w:space="0"/>
              <w:bottom w:val="single" w:color="auto" w:sz="6" w:space="0"/>
            </w:tcBorders>
            <w:vAlign w:val="center"/>
          </w:tcPr>
          <w:p>
            <w:pPr>
              <w:pStyle w:val="84"/>
              <w:jc w:val="center"/>
              <w:rPr>
                <w:rFonts w:asciiTheme="minorHAnsi" w:hAnsiTheme="minorHAnsi" w:cstheme="minorHAnsi"/>
                <w:sz w:val="18"/>
                <w:szCs w:val="18"/>
                <w:lang w:val="es-EC"/>
              </w:rPr>
            </w:pPr>
            <w:r>
              <w:rPr>
                <w:rFonts w:asciiTheme="minorHAnsi" w:hAnsiTheme="minorHAnsi" w:cstheme="minorHAnsi"/>
                <w:sz w:val="18"/>
                <w:szCs w:val="18"/>
                <w:lang w:val="es-EC"/>
              </w:rPr>
              <w:t>Global</w:t>
            </w:r>
          </w:p>
          <w:p>
            <w:pPr>
              <w:jc w:val="center"/>
              <w:rPr>
                <w:rFonts w:asciiTheme="minorHAnsi" w:hAnsiTheme="minorHAnsi" w:cstheme="minorHAnsi"/>
                <w:sz w:val="18"/>
                <w:szCs w:val="18"/>
                <w:lang w:val="es-EC"/>
              </w:rPr>
            </w:pPr>
          </w:p>
        </w:tc>
        <w:tc>
          <w:tcPr>
            <w:tcW w:w="2340" w:type="dxa"/>
            <w:tcBorders>
              <w:top w:val="single" w:color="auto" w:sz="6" w:space="0"/>
              <w:bottom w:val="single" w:color="auto" w:sz="6" w:space="0"/>
            </w:tcBorders>
            <w:vAlign w:val="center"/>
          </w:tcPr>
          <w:p>
            <w:pPr>
              <w:jc w:val="center"/>
              <w:rPr>
                <w:rFonts w:asciiTheme="minorHAnsi" w:hAnsiTheme="minorHAnsi" w:cstheme="minorHAnsi"/>
                <w:sz w:val="18"/>
                <w:szCs w:val="18"/>
                <w:lang w:val="es-EC"/>
              </w:rPr>
            </w:pPr>
            <w:r>
              <w:rPr>
                <w:rFonts w:asciiTheme="minorHAnsi" w:hAnsiTheme="minorHAnsi" w:cstheme="minorHAnsi"/>
                <w:iCs/>
                <w:sz w:val="18"/>
                <w:szCs w:val="18"/>
                <w:lang w:val="es-EC"/>
              </w:rPr>
              <w:t>Instalaciones de los Hospitales a proveer el servicio</w:t>
            </w:r>
          </w:p>
        </w:tc>
        <w:tc>
          <w:tcPr>
            <w:tcW w:w="1620" w:type="dxa"/>
            <w:tcBorders>
              <w:top w:val="single" w:color="auto" w:sz="6" w:space="0"/>
              <w:bottom w:val="single" w:color="auto" w:sz="6" w:space="0"/>
            </w:tcBorders>
            <w:vAlign w:val="center"/>
          </w:tcPr>
          <w:p>
            <w:pPr>
              <w:jc w:val="center"/>
              <w:rPr>
                <w:rFonts w:asciiTheme="minorHAnsi" w:hAnsiTheme="minorHAnsi" w:cstheme="minorHAnsi"/>
                <w:sz w:val="18"/>
                <w:szCs w:val="18"/>
                <w:lang w:val="es-EC"/>
              </w:rPr>
            </w:pPr>
            <w:r>
              <w:rPr>
                <w:rFonts w:asciiTheme="minorHAnsi" w:hAnsiTheme="minorHAnsi" w:cstheme="minorHAnsi"/>
                <w:iCs/>
                <w:sz w:val="18"/>
                <w:szCs w:val="18"/>
                <w:lang w:val="es-EC"/>
              </w:rPr>
              <w:t>Una vez suscrita el acta de entrega recepción definitiva.</w:t>
            </w:r>
          </w:p>
        </w:tc>
      </w:tr>
    </w:tbl>
    <w:p>
      <w:pPr>
        <w:rPr>
          <w:rFonts w:asciiTheme="minorHAnsi" w:hAnsiTheme="minorHAnsi" w:cstheme="minorHAnsi"/>
          <w:sz w:val="20"/>
          <w:szCs w:val="20"/>
          <w:lang w:val="es-EC"/>
        </w:rPr>
      </w:pPr>
    </w:p>
    <w:p>
      <w:pPr>
        <w:jc w:val="both"/>
        <w:rPr>
          <w:rFonts w:asciiTheme="minorHAnsi" w:hAnsiTheme="minorHAnsi" w:cstheme="minorHAnsi"/>
          <w:sz w:val="20"/>
          <w:szCs w:val="20"/>
          <w:lang w:val="es-EC"/>
        </w:rPr>
        <w:sectPr>
          <w:pgSz w:w="15840" w:h="12240" w:orient="landscape"/>
          <w:pgMar w:top="1440" w:right="1440" w:bottom="1440" w:left="1440" w:header="720" w:footer="720" w:gutter="0"/>
          <w:cols w:space="720" w:num="1"/>
          <w:docGrid w:linePitch="360" w:charSpace="0"/>
        </w:sectPr>
      </w:pPr>
      <w:r>
        <w:rPr>
          <w:rFonts w:asciiTheme="minorHAnsi" w:hAnsiTheme="minorHAnsi" w:cstheme="minorHAnsi"/>
          <w:sz w:val="20"/>
          <w:szCs w:val="20"/>
          <w:lang w:val="es-EC"/>
        </w:rPr>
        <w:t>*Sin perjuicio de lo anterior, el oferente deberá considerar los costos relacionados a los servicios de agente afianzado, transporte interno, distribución hasta las unidades de salud, instalación y puesta en servicio de los bienes. El Proveedor a nombre del Comprador gestionará la licencia de importación y realizará a su costo y con su propio agente afianzado el proceso de nacionalización de los bienes adjudicados</w:t>
      </w:r>
    </w:p>
    <w:p>
      <w:pPr>
        <w:rPr>
          <w:rFonts w:asciiTheme="minorHAnsi" w:hAnsiTheme="minorHAnsi" w:cstheme="minorHAnsi"/>
          <w:sz w:val="20"/>
          <w:szCs w:val="20"/>
          <w:lang w:val="es-EC"/>
        </w:rPr>
      </w:pPr>
      <w:r>
        <w:rPr>
          <w:rFonts w:asciiTheme="minorHAnsi" w:hAnsiTheme="minorHAnsi" w:cstheme="minorHAnsi"/>
          <w:sz w:val="20"/>
          <w:szCs w:val="20"/>
          <w:lang w:val="es-EC"/>
        </w:rPr>
        <w:t>Cuadro 1: Lugar de Destino Convenido</w:t>
      </w:r>
    </w:p>
    <w:p>
      <w:pPr>
        <w:jc w:val="center"/>
        <w:rPr>
          <w:rFonts w:asciiTheme="minorHAnsi" w:hAnsiTheme="minorHAnsi" w:cstheme="minorHAnsi"/>
          <w:b/>
          <w:sz w:val="20"/>
          <w:szCs w:val="20"/>
          <w:lang w:val="es-EC"/>
        </w:rPr>
      </w:pPr>
      <w:r>
        <w:rPr>
          <w:rFonts w:asciiTheme="minorHAnsi" w:hAnsiTheme="minorHAnsi" w:cstheme="minorHAnsi"/>
          <w:b/>
          <w:sz w:val="20"/>
          <w:szCs w:val="20"/>
          <w:lang w:val="es-EC"/>
        </w:rPr>
        <w:t xml:space="preserve">CUADRO No. 01 – UBICACIÓN LOS HOSPITALES PARA ENTREGA DE EQUIPAMIENTO MÉDICO </w:t>
      </w:r>
    </w:p>
    <w:tbl>
      <w:tblPr>
        <w:tblStyle w:val="46"/>
        <w:tblW w:w="12458" w:type="dxa"/>
        <w:jc w:val="center"/>
        <w:tblInd w:w="0" w:type="dxa"/>
        <w:tblLayout w:type="fixed"/>
        <w:tblCellMar>
          <w:top w:w="0" w:type="dxa"/>
          <w:left w:w="70" w:type="dxa"/>
          <w:bottom w:w="0" w:type="dxa"/>
          <w:right w:w="70" w:type="dxa"/>
        </w:tblCellMar>
      </w:tblPr>
      <w:tblGrid>
        <w:gridCol w:w="3023"/>
        <w:gridCol w:w="2432"/>
        <w:gridCol w:w="1265"/>
        <w:gridCol w:w="1653"/>
        <w:gridCol w:w="4085"/>
      </w:tblGrid>
      <w:tr>
        <w:tblPrEx>
          <w:tblLayout w:type="fixed"/>
          <w:tblCellMar>
            <w:top w:w="0" w:type="dxa"/>
            <w:left w:w="70" w:type="dxa"/>
            <w:bottom w:w="0" w:type="dxa"/>
            <w:right w:w="70" w:type="dxa"/>
          </w:tblCellMar>
        </w:tblPrEx>
        <w:trPr>
          <w:trHeight w:val="502" w:hRule="atLeast"/>
          <w:jc w:val="center"/>
        </w:trPr>
        <w:tc>
          <w:tcPr>
            <w:tcW w:w="3023" w:type="dxa"/>
            <w:tcBorders>
              <w:top w:val="single" w:color="auto" w:sz="8" w:space="0"/>
              <w:left w:val="single" w:color="auto" w:sz="8" w:space="0"/>
              <w:bottom w:val="single" w:color="auto" w:sz="8" w:space="0"/>
              <w:right w:val="single" w:color="auto" w:sz="4" w:space="0"/>
            </w:tcBorders>
            <w:shd w:val="clear" w:color="auto" w:fill="auto"/>
            <w:vAlign w:val="center"/>
          </w:tcPr>
          <w:p>
            <w:pPr>
              <w:jc w:val="center"/>
              <w:rPr>
                <w:rFonts w:asciiTheme="minorHAnsi" w:hAnsiTheme="minorHAnsi" w:cstheme="minorHAnsi"/>
                <w:b/>
                <w:bCs/>
                <w:color w:val="000000"/>
                <w:sz w:val="18"/>
                <w:szCs w:val="18"/>
                <w:lang w:val="es-EC"/>
              </w:rPr>
            </w:pPr>
            <w:r>
              <w:rPr>
                <w:rFonts w:asciiTheme="minorHAnsi" w:hAnsiTheme="minorHAnsi" w:cstheme="minorHAnsi"/>
                <w:b/>
                <w:bCs/>
                <w:color w:val="000000"/>
                <w:sz w:val="18"/>
                <w:szCs w:val="18"/>
                <w:lang w:val="es-EC"/>
              </w:rPr>
              <w:t xml:space="preserve">Hospital </w:t>
            </w:r>
          </w:p>
        </w:tc>
        <w:tc>
          <w:tcPr>
            <w:tcW w:w="2432" w:type="dxa"/>
            <w:tcBorders>
              <w:top w:val="single" w:color="auto" w:sz="8" w:space="0"/>
              <w:left w:val="nil"/>
              <w:bottom w:val="single" w:color="auto" w:sz="8" w:space="0"/>
              <w:right w:val="single" w:color="auto" w:sz="4" w:space="0"/>
            </w:tcBorders>
            <w:shd w:val="clear" w:color="auto" w:fill="auto"/>
            <w:vAlign w:val="center"/>
          </w:tcPr>
          <w:p>
            <w:pPr>
              <w:jc w:val="center"/>
              <w:rPr>
                <w:rFonts w:asciiTheme="minorHAnsi" w:hAnsiTheme="minorHAnsi" w:cstheme="minorHAnsi"/>
                <w:b/>
                <w:bCs/>
                <w:color w:val="000000"/>
                <w:sz w:val="18"/>
                <w:szCs w:val="18"/>
                <w:lang w:val="es-EC"/>
              </w:rPr>
            </w:pPr>
            <w:r>
              <w:rPr>
                <w:rFonts w:asciiTheme="minorHAnsi" w:hAnsiTheme="minorHAnsi" w:cstheme="minorHAnsi"/>
                <w:b/>
                <w:bCs/>
                <w:color w:val="000000"/>
                <w:sz w:val="18"/>
                <w:szCs w:val="18"/>
                <w:lang w:val="es-EC"/>
              </w:rPr>
              <w:t>Provincia</w:t>
            </w:r>
          </w:p>
        </w:tc>
        <w:tc>
          <w:tcPr>
            <w:tcW w:w="1265" w:type="dxa"/>
            <w:tcBorders>
              <w:top w:val="single" w:color="auto" w:sz="8" w:space="0"/>
              <w:left w:val="nil"/>
              <w:bottom w:val="single" w:color="auto" w:sz="8" w:space="0"/>
              <w:right w:val="single" w:color="auto" w:sz="4" w:space="0"/>
            </w:tcBorders>
            <w:shd w:val="clear" w:color="auto" w:fill="auto"/>
            <w:vAlign w:val="center"/>
          </w:tcPr>
          <w:p>
            <w:pPr>
              <w:jc w:val="center"/>
              <w:rPr>
                <w:rFonts w:asciiTheme="minorHAnsi" w:hAnsiTheme="minorHAnsi" w:cstheme="minorHAnsi"/>
                <w:b/>
                <w:bCs/>
                <w:color w:val="000000"/>
                <w:sz w:val="18"/>
                <w:szCs w:val="18"/>
                <w:lang w:val="es-EC"/>
              </w:rPr>
            </w:pPr>
            <w:r>
              <w:rPr>
                <w:rFonts w:asciiTheme="minorHAnsi" w:hAnsiTheme="minorHAnsi" w:cstheme="minorHAnsi"/>
                <w:b/>
                <w:bCs/>
                <w:color w:val="000000"/>
                <w:sz w:val="18"/>
                <w:szCs w:val="18"/>
                <w:lang w:val="es-EC"/>
              </w:rPr>
              <w:t>Cantón</w:t>
            </w:r>
          </w:p>
        </w:tc>
        <w:tc>
          <w:tcPr>
            <w:tcW w:w="1653" w:type="dxa"/>
            <w:tcBorders>
              <w:top w:val="single" w:color="auto" w:sz="8" w:space="0"/>
              <w:left w:val="nil"/>
              <w:bottom w:val="single" w:color="auto" w:sz="8" w:space="0"/>
              <w:right w:val="single" w:color="auto" w:sz="4" w:space="0"/>
            </w:tcBorders>
            <w:shd w:val="clear" w:color="auto" w:fill="auto"/>
            <w:vAlign w:val="center"/>
          </w:tcPr>
          <w:p>
            <w:pPr>
              <w:jc w:val="center"/>
              <w:rPr>
                <w:rFonts w:asciiTheme="minorHAnsi" w:hAnsiTheme="minorHAnsi" w:cstheme="minorHAnsi"/>
                <w:b/>
                <w:bCs/>
                <w:color w:val="000000"/>
                <w:sz w:val="18"/>
                <w:szCs w:val="18"/>
                <w:lang w:val="es-EC"/>
              </w:rPr>
            </w:pPr>
            <w:r>
              <w:rPr>
                <w:rFonts w:asciiTheme="minorHAnsi" w:hAnsiTheme="minorHAnsi" w:cstheme="minorHAnsi"/>
                <w:b/>
                <w:bCs/>
                <w:color w:val="000000"/>
                <w:sz w:val="18"/>
                <w:szCs w:val="18"/>
                <w:lang w:val="es-EC"/>
              </w:rPr>
              <w:t>Parroquia</w:t>
            </w:r>
          </w:p>
        </w:tc>
        <w:tc>
          <w:tcPr>
            <w:tcW w:w="4085" w:type="dxa"/>
            <w:tcBorders>
              <w:top w:val="single" w:color="auto" w:sz="8" w:space="0"/>
              <w:left w:val="nil"/>
              <w:bottom w:val="single" w:color="auto" w:sz="8" w:space="0"/>
              <w:right w:val="single" w:color="auto" w:sz="4" w:space="0"/>
            </w:tcBorders>
            <w:shd w:val="clear" w:color="auto" w:fill="auto"/>
            <w:vAlign w:val="center"/>
          </w:tcPr>
          <w:p>
            <w:pPr>
              <w:jc w:val="center"/>
              <w:rPr>
                <w:rFonts w:asciiTheme="minorHAnsi" w:hAnsiTheme="minorHAnsi" w:cstheme="minorHAnsi"/>
                <w:b/>
                <w:bCs/>
                <w:color w:val="000000"/>
                <w:sz w:val="18"/>
                <w:szCs w:val="18"/>
                <w:lang w:val="es-EC"/>
              </w:rPr>
            </w:pPr>
            <w:r>
              <w:rPr>
                <w:rFonts w:asciiTheme="minorHAnsi" w:hAnsiTheme="minorHAnsi" w:cstheme="minorHAnsi"/>
                <w:b/>
                <w:bCs/>
                <w:color w:val="000000"/>
                <w:sz w:val="18"/>
                <w:szCs w:val="18"/>
                <w:lang w:val="es-EC"/>
              </w:rPr>
              <w:t>Ubicación</w:t>
            </w:r>
          </w:p>
        </w:tc>
      </w:tr>
      <w:tr>
        <w:tblPrEx>
          <w:tblLayout w:type="fixed"/>
          <w:tblCellMar>
            <w:top w:w="0" w:type="dxa"/>
            <w:left w:w="70" w:type="dxa"/>
            <w:bottom w:w="0" w:type="dxa"/>
            <w:right w:w="70" w:type="dxa"/>
          </w:tblCellMar>
        </w:tblPrEx>
        <w:trPr>
          <w:trHeight w:val="502" w:hRule="atLeast"/>
          <w:jc w:val="center"/>
        </w:trPr>
        <w:tc>
          <w:tcPr>
            <w:tcW w:w="3023" w:type="dxa"/>
            <w:tcBorders>
              <w:top w:val="single" w:color="auto" w:sz="8" w:space="0"/>
              <w:left w:val="single" w:color="auto" w:sz="8" w:space="0"/>
              <w:bottom w:val="single" w:color="auto" w:sz="8" w:space="0"/>
              <w:right w:val="single" w:color="auto" w:sz="4" w:space="0"/>
            </w:tcBorders>
            <w:shd w:val="clear" w:color="auto" w:fill="auto"/>
            <w:vAlign w:val="center"/>
          </w:tcPr>
          <w:p>
            <w:pPr>
              <w:pStyle w:val="120"/>
              <w:jc w:val="center"/>
              <w:rPr>
                <w:rFonts w:asciiTheme="minorHAnsi" w:hAnsiTheme="minorHAnsi" w:cstheme="minorHAnsi"/>
                <w:sz w:val="18"/>
                <w:szCs w:val="18"/>
                <w:lang w:val="es-EC"/>
              </w:rPr>
            </w:pPr>
            <w:r>
              <w:rPr>
                <w:rFonts w:asciiTheme="minorHAnsi" w:hAnsiTheme="minorHAnsi" w:cstheme="minorHAnsi"/>
                <w:sz w:val="18"/>
                <w:szCs w:val="18"/>
                <w:lang w:val="es-EC"/>
              </w:rPr>
              <w:t>Hospital Luis G. Dávila</w:t>
            </w:r>
          </w:p>
        </w:tc>
        <w:tc>
          <w:tcPr>
            <w:tcW w:w="2432"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asciiTheme="minorHAnsi" w:hAnsiTheme="minorHAnsi" w:cstheme="minorHAnsi"/>
                <w:sz w:val="18"/>
                <w:szCs w:val="18"/>
                <w:lang w:val="es-EC"/>
              </w:rPr>
            </w:pPr>
            <w:r>
              <w:rPr>
                <w:rFonts w:asciiTheme="minorHAnsi" w:hAnsiTheme="minorHAnsi" w:cstheme="minorHAnsi"/>
                <w:sz w:val="18"/>
                <w:szCs w:val="18"/>
                <w:lang w:val="es-EC"/>
              </w:rPr>
              <w:t>Carchi</w:t>
            </w:r>
          </w:p>
        </w:tc>
        <w:tc>
          <w:tcPr>
            <w:tcW w:w="126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asciiTheme="minorHAnsi" w:hAnsiTheme="minorHAnsi" w:cstheme="minorHAnsi"/>
                <w:sz w:val="18"/>
                <w:szCs w:val="18"/>
                <w:lang w:val="es-EC"/>
              </w:rPr>
            </w:pPr>
            <w:r>
              <w:rPr>
                <w:rFonts w:asciiTheme="minorHAnsi" w:hAnsiTheme="minorHAnsi" w:cstheme="minorHAnsi"/>
                <w:sz w:val="18"/>
                <w:szCs w:val="18"/>
                <w:lang w:val="es-EC"/>
              </w:rPr>
              <w:t>Tulcán</w:t>
            </w:r>
          </w:p>
        </w:tc>
        <w:tc>
          <w:tcPr>
            <w:tcW w:w="1653"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asciiTheme="minorHAnsi" w:hAnsiTheme="minorHAnsi" w:cstheme="minorHAnsi"/>
                <w:sz w:val="18"/>
                <w:szCs w:val="18"/>
                <w:lang w:val="es-EC"/>
              </w:rPr>
            </w:pPr>
            <w:r>
              <w:rPr>
                <w:rFonts w:asciiTheme="minorHAnsi" w:hAnsiTheme="minorHAnsi" w:cstheme="minorHAnsi"/>
                <w:sz w:val="18"/>
                <w:szCs w:val="18"/>
                <w:lang w:val="es-EC"/>
              </w:rPr>
              <w:t>Tulcán</w:t>
            </w:r>
          </w:p>
        </w:tc>
        <w:tc>
          <w:tcPr>
            <w:tcW w:w="408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sz w:val="18"/>
                <w:szCs w:val="18"/>
                <w:highlight w:val="cyan"/>
                <w:lang w:val="es-EC"/>
              </w:rPr>
            </w:pPr>
            <w:r>
              <w:rPr>
                <w:rFonts w:asciiTheme="minorHAnsi" w:hAnsiTheme="minorHAnsi" w:cstheme="minorHAnsi"/>
                <w:color w:val="000000"/>
                <w:sz w:val="18"/>
                <w:szCs w:val="18"/>
                <w:lang w:val="es-EC"/>
              </w:rPr>
              <w:t>Av. San Francisco entre García Lorca y Gustavo Becker</w:t>
            </w:r>
          </w:p>
        </w:tc>
      </w:tr>
      <w:tr>
        <w:tblPrEx>
          <w:tblLayout w:type="fixed"/>
          <w:tblCellMar>
            <w:top w:w="0" w:type="dxa"/>
            <w:left w:w="70" w:type="dxa"/>
            <w:bottom w:w="0" w:type="dxa"/>
            <w:right w:w="70" w:type="dxa"/>
          </w:tblCellMar>
        </w:tblPrEx>
        <w:trPr>
          <w:trHeight w:val="502" w:hRule="atLeast"/>
          <w:jc w:val="center"/>
        </w:trPr>
        <w:tc>
          <w:tcPr>
            <w:tcW w:w="3023" w:type="dxa"/>
            <w:tcBorders>
              <w:top w:val="single" w:color="auto" w:sz="8" w:space="0"/>
              <w:left w:val="single" w:color="auto" w:sz="8" w:space="0"/>
              <w:bottom w:val="single" w:color="auto" w:sz="4" w:space="0"/>
              <w:right w:val="single" w:color="auto" w:sz="4" w:space="0"/>
            </w:tcBorders>
            <w:shd w:val="clear" w:color="auto" w:fill="auto"/>
            <w:vAlign w:val="center"/>
          </w:tcPr>
          <w:p>
            <w:pPr>
              <w:pStyle w:val="120"/>
              <w:jc w:val="center"/>
              <w:rPr>
                <w:rFonts w:asciiTheme="minorHAnsi" w:hAnsiTheme="minorHAnsi" w:cstheme="minorHAnsi"/>
                <w:sz w:val="18"/>
                <w:szCs w:val="18"/>
                <w:lang w:val="es-EC"/>
              </w:rPr>
            </w:pPr>
            <w:r>
              <w:rPr>
                <w:rFonts w:asciiTheme="minorHAnsi" w:hAnsiTheme="minorHAnsi" w:cstheme="minorHAnsi"/>
                <w:sz w:val="18"/>
                <w:szCs w:val="18"/>
                <w:lang w:val="es-EC"/>
              </w:rPr>
              <w:t>Hospital San Vicente de Paúl</w:t>
            </w:r>
          </w:p>
        </w:tc>
        <w:tc>
          <w:tcPr>
            <w:tcW w:w="2432" w:type="dxa"/>
            <w:tcBorders>
              <w:top w:val="single" w:color="auto" w:sz="8" w:space="0"/>
              <w:left w:val="nil"/>
              <w:bottom w:val="single" w:color="auto" w:sz="4"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Imbabura</w:t>
            </w:r>
          </w:p>
        </w:tc>
        <w:tc>
          <w:tcPr>
            <w:tcW w:w="1265" w:type="dxa"/>
            <w:tcBorders>
              <w:top w:val="single" w:color="auto" w:sz="8" w:space="0"/>
              <w:left w:val="nil"/>
              <w:bottom w:val="single" w:color="auto" w:sz="4"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Ibarra</w:t>
            </w:r>
          </w:p>
        </w:tc>
        <w:tc>
          <w:tcPr>
            <w:tcW w:w="1653" w:type="dxa"/>
            <w:tcBorders>
              <w:top w:val="single" w:color="auto" w:sz="8" w:space="0"/>
              <w:left w:val="nil"/>
              <w:bottom w:val="single" w:color="auto" w:sz="4"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San Miguel de Ibarra</w:t>
            </w:r>
          </w:p>
        </w:tc>
        <w:tc>
          <w:tcPr>
            <w:tcW w:w="4085" w:type="dxa"/>
            <w:tcBorders>
              <w:top w:val="single" w:color="auto" w:sz="8" w:space="0"/>
              <w:left w:val="nil"/>
              <w:bottom w:val="single" w:color="auto" w:sz="4"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Dr. Luis Gonzalo Gómez Jurado y Luis Vargas Torres</w:t>
            </w:r>
          </w:p>
        </w:tc>
      </w:tr>
      <w:tr>
        <w:tblPrEx>
          <w:tblLayout w:type="fixed"/>
          <w:tblCellMar>
            <w:top w:w="0" w:type="dxa"/>
            <w:left w:w="70" w:type="dxa"/>
            <w:bottom w:w="0" w:type="dxa"/>
            <w:right w:w="70" w:type="dxa"/>
          </w:tblCellMar>
        </w:tblPrEx>
        <w:trPr>
          <w:trHeight w:val="502" w:hRule="atLeast"/>
          <w:jc w:val="center"/>
        </w:trPr>
        <w:tc>
          <w:tcPr>
            <w:tcW w:w="3023" w:type="dxa"/>
            <w:tcBorders>
              <w:top w:val="single" w:color="auto" w:sz="8" w:space="0"/>
              <w:left w:val="single" w:color="auto" w:sz="8" w:space="0"/>
              <w:bottom w:val="single" w:color="auto" w:sz="8" w:space="0"/>
              <w:right w:val="single" w:color="auto" w:sz="4" w:space="0"/>
            </w:tcBorders>
            <w:shd w:val="clear" w:color="auto" w:fill="auto"/>
            <w:vAlign w:val="center"/>
          </w:tcPr>
          <w:p>
            <w:pPr>
              <w:pStyle w:val="120"/>
              <w:jc w:val="center"/>
              <w:rPr>
                <w:rFonts w:asciiTheme="minorHAnsi" w:hAnsiTheme="minorHAnsi" w:cstheme="minorHAnsi"/>
                <w:sz w:val="18"/>
                <w:szCs w:val="18"/>
                <w:lang w:val="es-EC"/>
              </w:rPr>
            </w:pPr>
            <w:r>
              <w:rPr>
                <w:rFonts w:asciiTheme="minorHAnsi" w:hAnsiTheme="minorHAnsi" w:cstheme="minorHAnsi"/>
                <w:sz w:val="18"/>
                <w:szCs w:val="18"/>
                <w:lang w:val="es-EC"/>
              </w:rPr>
              <w:t>Hospital Verdi Cevallos Balda</w:t>
            </w:r>
          </w:p>
        </w:tc>
        <w:tc>
          <w:tcPr>
            <w:tcW w:w="2432"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Manabí</w:t>
            </w:r>
          </w:p>
        </w:tc>
        <w:tc>
          <w:tcPr>
            <w:tcW w:w="126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Portoviejo </w:t>
            </w:r>
          </w:p>
        </w:tc>
        <w:tc>
          <w:tcPr>
            <w:tcW w:w="1653"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Portoviejo </w:t>
            </w:r>
          </w:p>
        </w:tc>
        <w:tc>
          <w:tcPr>
            <w:tcW w:w="408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Calle Rocafuerte y 12 de Marzo.</w:t>
            </w:r>
          </w:p>
        </w:tc>
      </w:tr>
      <w:tr>
        <w:tblPrEx>
          <w:tblLayout w:type="fixed"/>
          <w:tblCellMar>
            <w:top w:w="0" w:type="dxa"/>
            <w:left w:w="70" w:type="dxa"/>
            <w:bottom w:w="0" w:type="dxa"/>
            <w:right w:w="70" w:type="dxa"/>
          </w:tblCellMar>
        </w:tblPrEx>
        <w:trPr>
          <w:trHeight w:val="502" w:hRule="atLeast"/>
          <w:jc w:val="center"/>
        </w:trPr>
        <w:tc>
          <w:tcPr>
            <w:tcW w:w="3023" w:type="dxa"/>
            <w:tcBorders>
              <w:top w:val="single" w:color="auto" w:sz="8" w:space="0"/>
              <w:left w:val="single" w:color="auto" w:sz="8" w:space="0"/>
              <w:bottom w:val="single" w:color="auto" w:sz="8" w:space="0"/>
              <w:right w:val="single" w:color="auto" w:sz="4" w:space="0"/>
            </w:tcBorders>
            <w:shd w:val="clear" w:color="auto" w:fill="auto"/>
            <w:vAlign w:val="center"/>
          </w:tcPr>
          <w:p>
            <w:pPr>
              <w:pStyle w:val="120"/>
              <w:jc w:val="center"/>
              <w:rPr>
                <w:rFonts w:asciiTheme="minorHAnsi" w:hAnsiTheme="minorHAnsi" w:cstheme="minorHAnsi"/>
                <w:sz w:val="18"/>
                <w:szCs w:val="18"/>
                <w:lang w:val="es-EC"/>
              </w:rPr>
            </w:pPr>
            <w:r>
              <w:rPr>
                <w:rFonts w:asciiTheme="minorHAnsi" w:hAnsiTheme="minorHAnsi" w:cstheme="minorHAnsi"/>
                <w:sz w:val="18"/>
                <w:szCs w:val="18"/>
                <w:lang w:val="es-EC"/>
              </w:rPr>
              <w:t>Hospital Gustavo Domínguez</w:t>
            </w:r>
          </w:p>
        </w:tc>
        <w:tc>
          <w:tcPr>
            <w:tcW w:w="2432"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Santo Domingo de los Tsachilas</w:t>
            </w:r>
          </w:p>
        </w:tc>
        <w:tc>
          <w:tcPr>
            <w:tcW w:w="126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Santo Domingo </w:t>
            </w:r>
          </w:p>
        </w:tc>
        <w:tc>
          <w:tcPr>
            <w:tcW w:w="1653"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Zaracay</w:t>
            </w:r>
          </w:p>
        </w:tc>
        <w:tc>
          <w:tcPr>
            <w:tcW w:w="408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Av. Yamboya, Santo Domingo de los Colorados</w:t>
            </w:r>
          </w:p>
        </w:tc>
      </w:tr>
      <w:tr>
        <w:tblPrEx>
          <w:tblLayout w:type="fixed"/>
          <w:tblCellMar>
            <w:top w:w="0" w:type="dxa"/>
            <w:left w:w="70" w:type="dxa"/>
            <w:bottom w:w="0" w:type="dxa"/>
            <w:right w:w="70" w:type="dxa"/>
          </w:tblCellMar>
        </w:tblPrEx>
        <w:trPr>
          <w:trHeight w:val="502" w:hRule="atLeast"/>
          <w:jc w:val="center"/>
        </w:trPr>
        <w:tc>
          <w:tcPr>
            <w:tcW w:w="3023" w:type="dxa"/>
            <w:tcBorders>
              <w:top w:val="single" w:color="auto" w:sz="8" w:space="0"/>
              <w:left w:val="single" w:color="auto" w:sz="8" w:space="0"/>
              <w:bottom w:val="single" w:color="auto" w:sz="8" w:space="0"/>
              <w:right w:val="single" w:color="auto" w:sz="4" w:space="0"/>
            </w:tcBorders>
            <w:shd w:val="clear" w:color="auto" w:fill="auto"/>
            <w:vAlign w:val="center"/>
          </w:tcPr>
          <w:p>
            <w:pPr>
              <w:pStyle w:val="120"/>
              <w:jc w:val="center"/>
              <w:rPr>
                <w:rFonts w:asciiTheme="minorHAnsi" w:hAnsiTheme="minorHAnsi" w:cstheme="minorHAnsi"/>
                <w:sz w:val="18"/>
                <w:szCs w:val="18"/>
                <w:lang w:val="es-EC"/>
              </w:rPr>
            </w:pPr>
            <w:r>
              <w:rPr>
                <w:rFonts w:asciiTheme="minorHAnsi" w:hAnsiTheme="minorHAnsi" w:cstheme="minorHAnsi"/>
                <w:sz w:val="18"/>
                <w:szCs w:val="18"/>
                <w:lang w:val="es-EC"/>
              </w:rPr>
              <w:t>Hospital Santo Domingo</w:t>
            </w:r>
          </w:p>
        </w:tc>
        <w:tc>
          <w:tcPr>
            <w:tcW w:w="2432"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Santo Domingo de los Tsachilas</w:t>
            </w:r>
          </w:p>
        </w:tc>
        <w:tc>
          <w:tcPr>
            <w:tcW w:w="126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Santo Domingo</w:t>
            </w:r>
          </w:p>
        </w:tc>
        <w:tc>
          <w:tcPr>
            <w:tcW w:w="1653"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Bomboli</w:t>
            </w:r>
          </w:p>
        </w:tc>
        <w:tc>
          <w:tcPr>
            <w:tcW w:w="408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highlight w:val="cyan"/>
                <w:lang w:val="es-EC" w:eastAsia="es-EC"/>
              </w:rPr>
            </w:pPr>
            <w:r>
              <w:rPr>
                <w:rFonts w:eastAsia="Times New Roman" w:asciiTheme="minorHAnsi" w:hAnsiTheme="minorHAnsi" w:cstheme="minorHAnsi"/>
                <w:color w:val="000000"/>
                <w:sz w:val="18"/>
                <w:szCs w:val="18"/>
                <w:lang w:val="es-EC" w:eastAsia="es-EC"/>
              </w:rPr>
              <w:t>Coop. UCOM II, Av. Lorenzo Emilio Sthell</w:t>
            </w:r>
          </w:p>
        </w:tc>
      </w:tr>
      <w:tr>
        <w:tblPrEx>
          <w:tblLayout w:type="fixed"/>
          <w:tblCellMar>
            <w:top w:w="0" w:type="dxa"/>
            <w:left w:w="70" w:type="dxa"/>
            <w:bottom w:w="0" w:type="dxa"/>
            <w:right w:w="70" w:type="dxa"/>
          </w:tblCellMar>
        </w:tblPrEx>
        <w:trPr>
          <w:trHeight w:val="502" w:hRule="atLeast"/>
          <w:jc w:val="center"/>
        </w:trPr>
        <w:tc>
          <w:tcPr>
            <w:tcW w:w="3023" w:type="dxa"/>
            <w:tcBorders>
              <w:top w:val="single" w:color="auto" w:sz="8" w:space="0"/>
              <w:left w:val="single" w:color="auto" w:sz="8" w:space="0"/>
              <w:bottom w:val="single" w:color="auto" w:sz="8" w:space="0"/>
              <w:right w:val="single" w:color="auto" w:sz="4" w:space="0"/>
            </w:tcBorders>
            <w:shd w:val="clear" w:color="auto" w:fill="auto"/>
            <w:vAlign w:val="center"/>
          </w:tcPr>
          <w:p>
            <w:pPr>
              <w:pStyle w:val="120"/>
              <w:jc w:val="center"/>
              <w:rPr>
                <w:rFonts w:asciiTheme="minorHAnsi" w:hAnsiTheme="minorHAnsi" w:cstheme="minorHAnsi"/>
                <w:sz w:val="18"/>
                <w:szCs w:val="18"/>
                <w:lang w:val="es-EC"/>
              </w:rPr>
            </w:pPr>
            <w:r>
              <w:rPr>
                <w:rFonts w:asciiTheme="minorHAnsi" w:hAnsiTheme="minorHAnsi" w:cstheme="minorHAnsi"/>
                <w:sz w:val="18"/>
                <w:szCs w:val="18"/>
                <w:lang w:val="es-EC"/>
              </w:rPr>
              <w:t>Hospital Gineco Obstétrico Isidro Ayora</w:t>
            </w:r>
          </w:p>
        </w:tc>
        <w:tc>
          <w:tcPr>
            <w:tcW w:w="2432"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Pichincha</w:t>
            </w:r>
          </w:p>
        </w:tc>
        <w:tc>
          <w:tcPr>
            <w:tcW w:w="126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Quito</w:t>
            </w:r>
          </w:p>
        </w:tc>
        <w:tc>
          <w:tcPr>
            <w:tcW w:w="1653"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 xml:space="preserve">Itchimbia </w:t>
            </w:r>
          </w:p>
        </w:tc>
        <w:tc>
          <w:tcPr>
            <w:tcW w:w="4085" w:type="dxa"/>
            <w:tcBorders>
              <w:top w:val="single" w:color="auto" w:sz="8" w:space="0"/>
              <w:left w:val="nil"/>
              <w:bottom w:val="single" w:color="auto" w:sz="8" w:space="0"/>
              <w:right w:val="single" w:color="auto" w:sz="4" w:space="0"/>
            </w:tcBorders>
            <w:shd w:val="clear" w:color="auto" w:fill="auto"/>
            <w:vAlign w:val="center"/>
          </w:tcPr>
          <w:p>
            <w:pPr>
              <w:pStyle w:val="120"/>
              <w:jc w:val="center"/>
              <w:rPr>
                <w:rFonts w:eastAsia="Times New Roman" w:asciiTheme="minorHAnsi" w:hAnsiTheme="minorHAnsi" w:cstheme="minorHAnsi"/>
                <w:color w:val="000000"/>
                <w:sz w:val="18"/>
                <w:szCs w:val="18"/>
                <w:highlight w:val="cyan"/>
                <w:lang w:val="es-EC" w:eastAsia="es-EC"/>
              </w:rPr>
            </w:pPr>
            <w:r>
              <w:rPr>
                <w:rFonts w:eastAsia="Times New Roman" w:asciiTheme="minorHAnsi" w:hAnsiTheme="minorHAnsi" w:cstheme="minorHAnsi"/>
                <w:color w:val="000000"/>
                <w:sz w:val="18"/>
                <w:szCs w:val="18"/>
                <w:lang w:val="es-EC" w:eastAsia="es-EC"/>
              </w:rPr>
              <w:t>Los Ríos, Quito 170136</w:t>
            </w:r>
          </w:p>
        </w:tc>
      </w:tr>
    </w:tbl>
    <w:p>
      <w:pPr>
        <w:jc w:val="center"/>
        <w:rPr>
          <w:rFonts w:asciiTheme="minorHAnsi" w:hAnsiTheme="minorHAnsi" w:cstheme="minorHAnsi"/>
          <w:b/>
          <w:sz w:val="20"/>
          <w:szCs w:val="20"/>
          <w:lang w:val="es-EC"/>
        </w:rPr>
      </w:pPr>
    </w:p>
    <w:p>
      <w:pPr>
        <w:jc w:val="center"/>
        <w:rPr>
          <w:rFonts w:asciiTheme="minorHAnsi" w:hAnsiTheme="minorHAnsi" w:cstheme="minorHAnsi"/>
          <w:b/>
          <w:sz w:val="20"/>
          <w:szCs w:val="20"/>
          <w:lang w:val="es-EC"/>
        </w:rPr>
      </w:pPr>
    </w:p>
    <w:p>
      <w:pPr>
        <w:jc w:val="center"/>
        <w:rPr>
          <w:rFonts w:asciiTheme="minorHAnsi" w:hAnsiTheme="minorHAnsi" w:cstheme="minorHAnsi"/>
          <w:b/>
          <w:sz w:val="20"/>
          <w:szCs w:val="20"/>
          <w:lang w:val="es-EC"/>
        </w:rPr>
      </w:pPr>
    </w:p>
    <w:p>
      <w:pPr>
        <w:spacing w:line="360" w:lineRule="auto"/>
        <w:rPr>
          <w:rFonts w:asciiTheme="minorHAnsi" w:hAnsiTheme="minorHAnsi" w:cstheme="minorHAnsi"/>
          <w:i/>
          <w:color w:val="92D050"/>
          <w:sz w:val="20"/>
          <w:szCs w:val="20"/>
          <w:lang w:val="es-EC" w:eastAsia="es-EC"/>
        </w:rPr>
        <w:sectPr>
          <w:pgSz w:w="15842" w:h="12242" w:orient="landscape"/>
          <w:pgMar w:top="1559" w:right="1843" w:bottom="1559" w:left="1276" w:header="709" w:footer="425" w:gutter="0"/>
          <w:pgBorders w:offsetFrom="page">
            <w:top w:val="single" w:color="auto" w:sz="4" w:space="24"/>
          </w:pgBorders>
          <w:cols w:space="720" w:num="1"/>
        </w:sectPr>
      </w:pPr>
    </w:p>
    <w:p>
      <w:pPr>
        <w:suppressAutoHyphens/>
        <w:spacing w:before="60" w:after="60" w:line="240" w:lineRule="auto"/>
        <w:jc w:val="center"/>
        <w:rPr>
          <w:rFonts w:eastAsia="Times New Roman" w:asciiTheme="minorHAnsi" w:hAnsiTheme="minorHAnsi" w:cstheme="minorHAnsi"/>
          <w:b/>
          <w:bCs/>
          <w:sz w:val="20"/>
          <w:szCs w:val="20"/>
          <w:lang w:val="es-EC" w:eastAsia="es-EC"/>
        </w:rPr>
      </w:pPr>
      <w:r>
        <w:rPr>
          <w:rFonts w:eastAsia="Times New Roman" w:asciiTheme="minorHAnsi" w:hAnsiTheme="minorHAnsi" w:cstheme="minorHAnsi"/>
          <w:b/>
          <w:bCs/>
          <w:sz w:val="20"/>
          <w:szCs w:val="20"/>
          <w:lang w:val="es-EC" w:eastAsia="es-EC"/>
        </w:rPr>
        <w:t xml:space="preserve">ESPECIFICACIONES TÉCNICAS </w:t>
      </w:r>
    </w:p>
    <w:p>
      <w:pPr>
        <w:spacing w:after="0"/>
        <w:jc w:val="both"/>
        <w:rPr>
          <w:rFonts w:asciiTheme="minorHAnsi" w:hAnsiTheme="minorHAnsi" w:cstheme="minorHAnsi"/>
          <w:sz w:val="20"/>
          <w:szCs w:val="20"/>
          <w:lang w:val="es-EC"/>
        </w:rPr>
      </w:pPr>
    </w:p>
    <w:p>
      <w:pPr>
        <w:spacing w:after="0"/>
        <w:jc w:val="both"/>
        <w:rPr>
          <w:rFonts w:asciiTheme="minorHAnsi" w:hAnsiTheme="minorHAnsi" w:cstheme="minorHAnsi"/>
          <w:b/>
          <w:sz w:val="20"/>
          <w:szCs w:val="20"/>
          <w:lang w:val="es-EC"/>
        </w:rPr>
      </w:pPr>
      <w:r>
        <w:rPr>
          <w:rFonts w:asciiTheme="minorHAnsi" w:hAnsiTheme="minorHAnsi" w:cstheme="minorHAnsi"/>
          <w:b/>
          <w:sz w:val="20"/>
          <w:szCs w:val="20"/>
          <w:lang w:val="es-EC"/>
        </w:rPr>
        <w:t>Cumplimiento de los bienes:</w:t>
      </w:r>
    </w:p>
    <w:p>
      <w:pPr>
        <w:spacing w:after="0"/>
        <w:jc w:val="both"/>
        <w:rPr>
          <w:rFonts w:asciiTheme="minorHAnsi" w:hAnsiTheme="minorHAnsi" w:cstheme="minorHAnsi"/>
          <w:sz w:val="20"/>
          <w:szCs w:val="20"/>
          <w:lang w:val="es-EC"/>
        </w:rPr>
      </w:pP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w:t>
      </w:r>
      <w:r>
        <w:rPr>
          <w:rFonts w:asciiTheme="minorHAnsi" w:hAnsiTheme="minorHAnsi" w:cstheme="minorHAnsi"/>
          <w:sz w:val="20"/>
          <w:szCs w:val="20"/>
          <w:lang w:val="es-EC" w:eastAsia="es-EC"/>
        </w:rPr>
        <w:tab/>
      </w:r>
      <w:r>
        <w:rPr>
          <w:rFonts w:asciiTheme="minorHAnsi" w:hAnsiTheme="minorHAnsi" w:cstheme="minorHAnsi"/>
          <w:sz w:val="20"/>
          <w:szCs w:val="20"/>
          <w:lang w:val="es-EC" w:eastAsia="es-EC"/>
        </w:rPr>
        <w:t xml:space="preserve">No se admitirá especificar simplemente "según pliego" como identificación de los bienes ofrecidos debiendo consignarse las características técnicas referidas a los mismos. Se verificará que cada oferente, de cumplimiento expreso y puntual a las especificaciones descritas en las fichas técnicas en el proceso de evaluación de las ofertas. </w:t>
      </w: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w:t>
      </w:r>
      <w:r>
        <w:rPr>
          <w:rFonts w:asciiTheme="minorHAnsi" w:hAnsiTheme="minorHAnsi" w:cstheme="minorHAnsi"/>
          <w:sz w:val="20"/>
          <w:szCs w:val="20"/>
          <w:lang w:val="es-EC" w:eastAsia="es-EC"/>
        </w:rPr>
        <w:tab/>
      </w:r>
      <w:r>
        <w:rPr>
          <w:rFonts w:asciiTheme="minorHAnsi" w:hAnsiTheme="minorHAnsi" w:cstheme="minorHAnsi"/>
          <w:sz w:val="20"/>
          <w:szCs w:val="20"/>
          <w:lang w:val="es-EC" w:eastAsia="es-EC"/>
        </w:rPr>
        <w:t>Actualizaciones (update) y configuraciones de software sin costo durante la vigencia de la garantía del fabricante, los mismos que deben contener versiones completas del software, impidiéndose la instalación de software en modo demo o licencias parciales para cualquiera de las aplicaciones ofertadas.</w:t>
      </w: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w:t>
      </w:r>
      <w:r>
        <w:rPr>
          <w:rFonts w:asciiTheme="minorHAnsi" w:hAnsiTheme="minorHAnsi" w:cstheme="minorHAnsi"/>
          <w:sz w:val="20"/>
          <w:szCs w:val="20"/>
          <w:lang w:val="es-EC" w:eastAsia="es-EC"/>
        </w:rPr>
        <w:tab/>
      </w:r>
      <w:r>
        <w:rPr>
          <w:rFonts w:asciiTheme="minorHAnsi" w:hAnsiTheme="minorHAnsi" w:cstheme="minorHAnsi"/>
          <w:sz w:val="20"/>
          <w:szCs w:val="20"/>
          <w:lang w:val="es-EC" w:eastAsia="es-EC"/>
        </w:rPr>
        <w:t>Durante la entrega recepción y/o capacitación del equipamiento médico, el proveedor deberá suministrar el material e insumos necesarios para comprobar el buen funcionamiento de los equipos.</w:t>
      </w: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w:t>
      </w:r>
      <w:r>
        <w:rPr>
          <w:rFonts w:asciiTheme="minorHAnsi" w:hAnsiTheme="minorHAnsi" w:cstheme="minorHAnsi"/>
          <w:sz w:val="20"/>
          <w:szCs w:val="20"/>
          <w:lang w:val="es-EC" w:eastAsia="es-EC"/>
        </w:rPr>
        <w:tab/>
      </w:r>
      <w:r>
        <w:rPr>
          <w:rFonts w:asciiTheme="minorHAnsi" w:hAnsiTheme="minorHAnsi" w:cstheme="minorHAnsi"/>
          <w:sz w:val="20"/>
          <w:szCs w:val="20"/>
          <w:lang w:val="es-EC" w:eastAsia="es-EC"/>
        </w:rPr>
        <w:t xml:space="preserve">El Proveedor deberá entregar los bienes instalados, en funcionamiento con el entrenamiento y capacitación respectiva en el manejo y mantenimiento de los equipos de acuerdo a los manuales de cada uno al menos a dos funcionarios designados por cada establecimiento de salud. </w:t>
      </w: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w:t>
      </w:r>
      <w:r>
        <w:rPr>
          <w:rFonts w:asciiTheme="minorHAnsi" w:hAnsiTheme="minorHAnsi" w:cstheme="minorHAnsi"/>
          <w:sz w:val="20"/>
          <w:szCs w:val="20"/>
          <w:lang w:val="es-EC" w:eastAsia="es-EC"/>
        </w:rPr>
        <w:tab/>
      </w:r>
      <w:r>
        <w:rPr>
          <w:rFonts w:asciiTheme="minorHAnsi" w:hAnsiTheme="minorHAnsi" w:cstheme="minorHAnsi"/>
          <w:sz w:val="20"/>
          <w:szCs w:val="20"/>
          <w:lang w:val="es-EC" w:eastAsia="es-EC"/>
        </w:rPr>
        <w:t>El Oferente deberá proporcionar evidencia documentada que demuestre que los artículos que ofrece cumplen con las especificaciones técnicas en general y en particular en cuanto a diseños, medidas y requeridos.</w:t>
      </w: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ab/>
      </w:r>
      <w:r>
        <w:rPr>
          <w:rFonts w:asciiTheme="minorHAnsi" w:hAnsiTheme="minorHAnsi" w:cstheme="minorHAnsi"/>
          <w:sz w:val="20"/>
          <w:szCs w:val="20"/>
          <w:lang w:val="es-EC" w:eastAsia="es-EC"/>
        </w:rPr>
        <w:t xml:space="preserve"> La evidencia documentada puede ser en  forma  de  literatura  impresa,  catálogos o brochure con imágenes, planos o datos, y deberá incluir una descripción detallada de las características esenciales técnicas, detallando material de fabricación y de funcionamiento de cada equipo demostrando conformidad sustancial de los bienes con las especificaciones técnicas.</w:t>
      </w: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w:t>
      </w:r>
      <w:r>
        <w:rPr>
          <w:rFonts w:asciiTheme="minorHAnsi" w:hAnsiTheme="minorHAnsi" w:cstheme="minorHAnsi"/>
          <w:sz w:val="20"/>
          <w:szCs w:val="20"/>
          <w:lang w:val="es-EC" w:eastAsia="es-EC"/>
        </w:rPr>
        <w:tab/>
      </w:r>
      <w:r>
        <w:rPr>
          <w:rFonts w:asciiTheme="minorHAnsi" w:hAnsiTheme="minorHAnsi" w:cstheme="minorHAnsi"/>
          <w:sz w:val="20"/>
          <w:szCs w:val="20"/>
          <w:lang w:val="es-EC" w:eastAsia="es-EC"/>
        </w:rPr>
        <w:t>Toda esta información técnica se encuentra detallada en la ficha con las características del artículo requerido en la cual se incluyen especificaciones de los materiales, diseños con dimensiones y/o fotografías, en cada caso.</w:t>
      </w: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w:t>
      </w:r>
      <w:r>
        <w:rPr>
          <w:rFonts w:asciiTheme="minorHAnsi" w:hAnsiTheme="minorHAnsi" w:cstheme="minorHAnsi"/>
          <w:sz w:val="20"/>
          <w:szCs w:val="20"/>
          <w:lang w:val="es-EC" w:eastAsia="es-EC"/>
        </w:rPr>
        <w:tab/>
      </w:r>
      <w:r>
        <w:rPr>
          <w:rFonts w:asciiTheme="minorHAnsi" w:hAnsiTheme="minorHAnsi" w:cstheme="minorHAnsi"/>
          <w:sz w:val="20"/>
          <w:szCs w:val="20"/>
          <w:lang w:val="es-EC" w:eastAsia="es-EC"/>
        </w:rPr>
        <w:t>El oferente deberá presentar una declaración escrita (no juramentada) en la que indique el año de fabricación de los bienes el cual no deberá ser mayor al año anterior de la presentación de la oferta y que son nuevos, sin uso y no son remanufacturados ni repotenciados, , de óptima calidad, con tecnología de última generación de acuerdo a los requerimientos solicitados, que no ha presentado defectos atribuidos a la calidad y que además no existe ninguna notificación de alerta emitida por la FDA ni ningún otro organismo de regulación sanitaria.</w:t>
      </w:r>
    </w:p>
    <w:p>
      <w:pPr>
        <w:numPr>
          <w:ilvl w:val="0"/>
          <w:numId w:val="74"/>
        </w:numPr>
        <w:ind w:left="0" w:firstLine="36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El equipamiento que se entregue deberá estar identificado con los datos originales del fabricante como son: marca, modelo, serie, año de fabricación, potencia, clasificación de riesgo (en el caso de que aplique), y demás datos de identificación específica del equipo, debiendo ser equipos totalmente originales; adicionalmente, deberá incluirse los teléfonos de contacto, correos electrónicos, páginas </w:t>
      </w: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w:t>
      </w:r>
      <w:r>
        <w:rPr>
          <w:rFonts w:asciiTheme="minorHAnsi" w:hAnsiTheme="minorHAnsi" w:cstheme="minorHAnsi"/>
          <w:sz w:val="20"/>
          <w:szCs w:val="20"/>
          <w:lang w:val="es-EC" w:eastAsia="es-EC"/>
        </w:rPr>
        <w:tab/>
      </w:r>
      <w:r>
        <w:rPr>
          <w:rFonts w:asciiTheme="minorHAnsi" w:hAnsiTheme="minorHAnsi" w:cstheme="minorHAnsi"/>
          <w:sz w:val="20"/>
          <w:szCs w:val="20"/>
          <w:lang w:val="es-EC" w:eastAsia="es-EC"/>
        </w:rPr>
        <w:t>Se deberá presentar con la oferta, la copia simple de los certificados de calidad, descritos en cada una de las fichas técnicas, antes mencionadas.</w:t>
      </w:r>
    </w:p>
    <w:p>
      <w:pPr>
        <w:numPr>
          <w:ilvl w:val="0"/>
          <w:numId w:val="107"/>
        </w:numPr>
        <w:ind w:left="0" w:firstLine="36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El costo de transporte e instalación física del equipamiento biomédico y de todos los accesorios que el mismo necesite para su correcto funcionamiento, correrá a cargo  del PROVEEDOR.</w:t>
      </w:r>
    </w:p>
    <w:p>
      <w:pPr>
        <w:numPr>
          <w:ilvl w:val="0"/>
          <w:numId w:val="107"/>
        </w:numPr>
        <w:ind w:left="0" w:firstLine="36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El Oferente deberá presentar copia simple de la autorización, certificación o comercialización emitida por el fabricante o representante de la marca de que la misma está habilitada para comercializar los ítems objeto de la contratación. (Aplica para todos los LOTES).</w:t>
      </w:r>
    </w:p>
    <w:p>
      <w:pPr>
        <w:pStyle w:val="21"/>
        <w:numPr>
          <w:ilvl w:val="0"/>
          <w:numId w:val="107"/>
        </w:numPr>
        <w:spacing w:after="200" w:line="276" w:lineRule="auto"/>
        <w:jc w:val="both"/>
        <w:rPr>
          <w:rFonts w:eastAsia="Calibri" w:asciiTheme="minorHAnsi" w:hAnsiTheme="minorHAnsi" w:cstheme="minorHAnsi"/>
          <w:lang w:val="es-EC" w:eastAsia="es-EC"/>
        </w:rPr>
      </w:pPr>
      <w:r>
        <w:rPr>
          <w:rFonts w:eastAsia="Calibri" w:asciiTheme="minorHAnsi" w:hAnsiTheme="minorHAnsi" w:cstheme="minorHAnsi"/>
          <w:lang w:val="es-EC" w:eastAsia="es-EC"/>
        </w:rPr>
        <w:t>“El proveedor deberá cumplir con todos los requisitos necesarios para la importación y comercialización de los equipos, incluido el Registro Sanitario en caso de que aplique. Una vez que el proveedor reciba la notificación de adjudicación, este deberá iniciar los trámites respectivos para la obtención de los permisos.</w:t>
      </w:r>
    </w:p>
    <w:p>
      <w:pPr>
        <w:spacing w:line="360" w:lineRule="auto"/>
        <w:jc w:val="both"/>
        <w:rPr>
          <w:rFonts w:asciiTheme="minorHAnsi" w:hAnsiTheme="minorHAnsi" w:cstheme="minorHAnsi"/>
          <w:b/>
          <w:sz w:val="20"/>
          <w:szCs w:val="20"/>
          <w:u w:val="single"/>
          <w:lang w:val="es-EC"/>
        </w:rPr>
      </w:pPr>
      <w:r>
        <w:rPr>
          <w:rFonts w:asciiTheme="minorHAnsi" w:hAnsiTheme="minorHAnsi" w:cstheme="minorHAnsi"/>
          <w:b/>
          <w:sz w:val="20"/>
          <w:szCs w:val="20"/>
          <w:u w:val="single"/>
          <w:lang w:val="es-EC"/>
        </w:rPr>
        <w:t>Consideraciones para la importación:</w:t>
      </w:r>
    </w:p>
    <w:p>
      <w:pPr>
        <w:pStyle w:val="64"/>
        <w:numPr>
          <w:ilvl w:val="0"/>
          <w:numId w:val="108"/>
        </w:numPr>
        <w:autoSpaceDE w:val="0"/>
        <w:autoSpaceDN w:val="0"/>
        <w:adjustRightInd w:val="0"/>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Para poder emitir la autorización de embarque de la mercadería se debe de tener todas las autorizaciones previas ya aprobadas en el sistema ECUAPASS y no incurrir en gastos innecesarios cuando llegue la mercadería.</w:t>
      </w:r>
    </w:p>
    <w:p>
      <w:pPr>
        <w:numPr>
          <w:ilvl w:val="0"/>
          <w:numId w:val="108"/>
        </w:numPr>
        <w:autoSpaceDE w:val="0"/>
        <w:autoSpaceDN w:val="0"/>
        <w:adjustRightInd w:val="0"/>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Las autorizaciones previas deberán ser gestionadas ante las entidades correspondientes por parte del proveedor, así como también su costo generado, y se deberá entregar a esta Cartera de Estado la documentación completa requerida por cada entidad, para el envío de la solicitud mediante la transmisión electrónica por medio del sistema Ecuapass. </w:t>
      </w:r>
    </w:p>
    <w:p>
      <w:pPr>
        <w:numPr>
          <w:ilvl w:val="0"/>
          <w:numId w:val="108"/>
        </w:numPr>
        <w:autoSpaceDE w:val="0"/>
        <w:autoSpaceDN w:val="0"/>
        <w:adjustRightInd w:val="0"/>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Las licencias previas deben ser gestionadas de acuerdo a la clasificación arancelaria elaborada por el Agente de Aduanas del proveedor, el MSP estará a cargo de dar la facilidad para las firmas electrónicas de licencias elaboradas dentro del sistema ECUAPASS y también de la elaboración de las licencias SERCOP para los tramites que vengan a nombre del Ministerio de Salud Publica. Los costos que generen las licencias de importación se hará cargo el proveedor.</w:t>
      </w:r>
    </w:p>
    <w:p>
      <w:pPr>
        <w:numPr>
          <w:ilvl w:val="0"/>
          <w:numId w:val="108"/>
        </w:numPr>
        <w:autoSpaceDE w:val="0"/>
        <w:autoSpaceDN w:val="0"/>
        <w:adjustRightInd w:val="0"/>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En el caso que la importación sea por vía marítima, el proveedor deberá gestionar ante la transportadora la devolución de los contenedores una vez desaduanizada la carga – (arribada la carga al país) con un tiempo mínimo de 15 días, con la finalidad de evitar multas por demoras. </w:t>
      </w:r>
    </w:p>
    <w:p>
      <w:pPr>
        <w:numPr>
          <w:ilvl w:val="0"/>
          <w:numId w:val="108"/>
        </w:numPr>
        <w:autoSpaceDE w:val="0"/>
        <w:autoSpaceDN w:val="0"/>
        <w:adjustRightInd w:val="0"/>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En el caso de generarse multas o sanciones por incumplimiento en el procedimiento aduanero, estas deberán ser asumidas por el proveedor y deberán ser pagadas en un tiempo máximo de quince días una vez generada la multa, ya que el trámite de la desaduanización corresponde al proveedor. </w:t>
      </w:r>
    </w:p>
    <w:p>
      <w:pPr>
        <w:numPr>
          <w:ilvl w:val="0"/>
          <w:numId w:val="108"/>
        </w:numPr>
        <w:autoSpaceDE w:val="0"/>
        <w:autoSpaceDN w:val="0"/>
        <w:adjustRightInd w:val="0"/>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La información de las facturas comerciales y packing list (descripción, cantidades, valores, incoterm) que sean remitidas en primera instancia para efectuar las autorizaciones previas, deberá coincidir con la misma información de la factura comercial y packing list con las que se empleará en el proceso de desaduanización. </w:t>
      </w:r>
    </w:p>
    <w:p>
      <w:pPr>
        <w:numPr>
          <w:ilvl w:val="0"/>
          <w:numId w:val="108"/>
        </w:numPr>
        <w:autoSpaceDE w:val="0"/>
        <w:autoSpaceDN w:val="0"/>
        <w:adjustRightInd w:val="0"/>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Las solicitudes para la gestión de las licencias de importación deberán ser requeridas directamente a la Dirección Nacional Administrativa con copia a la Gerencia del Proyecto BID, de manera oficial, anexando toda la documentación habilitante.</w:t>
      </w:r>
    </w:p>
    <w:p>
      <w:pPr>
        <w:suppressAutoHyphens/>
        <w:spacing w:before="60" w:after="60" w:line="240" w:lineRule="auto"/>
        <w:rPr>
          <w:rFonts w:eastAsia="Times New Roman" w:asciiTheme="minorHAnsi" w:hAnsiTheme="minorHAnsi" w:cstheme="minorHAnsi"/>
          <w:b/>
          <w:bCs/>
          <w:sz w:val="20"/>
          <w:szCs w:val="20"/>
          <w:lang w:val="es-EC" w:eastAsia="es-EC"/>
        </w:rPr>
      </w:pPr>
    </w:p>
    <w:p>
      <w:pPr>
        <w:spacing w:line="360" w:lineRule="auto"/>
        <w:jc w:val="both"/>
        <w:rPr>
          <w:rFonts w:asciiTheme="minorHAnsi" w:hAnsiTheme="minorHAnsi" w:cstheme="minorHAnsi"/>
          <w:b/>
          <w:sz w:val="20"/>
          <w:szCs w:val="20"/>
          <w:lang w:val="es-EC" w:eastAsia="es-EC"/>
        </w:rPr>
      </w:pPr>
      <w:r>
        <w:rPr>
          <w:rFonts w:asciiTheme="minorHAnsi" w:hAnsiTheme="minorHAnsi" w:cstheme="minorHAnsi"/>
          <w:b/>
          <w:sz w:val="20"/>
          <w:szCs w:val="20"/>
          <w:lang w:val="es-EC" w:eastAsia="es-EC"/>
        </w:rPr>
        <w:t>Autorización del fabricante:</w:t>
      </w:r>
    </w:p>
    <w:p>
      <w:pPr>
        <w:pStyle w:val="64"/>
        <w:numPr>
          <w:ilvl w:val="0"/>
          <w:numId w:val="109"/>
        </w:numPr>
        <w:spacing w:before="100" w:beforeAutospacing="1" w:after="100" w:afterAutospacing="1" w:line="240" w:lineRule="auto"/>
        <w:rPr>
          <w:rFonts w:asciiTheme="minorHAnsi" w:hAnsiTheme="minorHAnsi" w:cstheme="minorHAnsi"/>
          <w:sz w:val="20"/>
          <w:szCs w:val="20"/>
          <w:lang w:val="es-EC"/>
        </w:rPr>
      </w:pPr>
      <w:r>
        <w:rPr>
          <w:rFonts w:asciiTheme="minorHAnsi" w:hAnsiTheme="minorHAnsi" w:cstheme="minorHAnsi"/>
          <w:sz w:val="20"/>
          <w:szCs w:val="20"/>
          <w:lang w:val="es-EC" w:eastAsia="es-EC"/>
        </w:rPr>
        <w:t>Ser fabricante o productor de los bienes ofrecidos</w:t>
      </w:r>
      <w:r>
        <w:rPr>
          <w:rFonts w:asciiTheme="minorHAnsi" w:hAnsiTheme="minorHAnsi" w:cstheme="minorHAnsi"/>
          <w:sz w:val="20"/>
          <w:szCs w:val="20"/>
          <w:lang w:val="es-EC"/>
        </w:rPr>
        <w:t>.</w:t>
      </w:r>
    </w:p>
    <w:p>
      <w:pPr>
        <w:pStyle w:val="64"/>
        <w:numPr>
          <w:ilvl w:val="0"/>
          <w:numId w:val="109"/>
        </w:numPr>
        <w:spacing w:before="100" w:beforeAutospacing="1" w:after="100" w:afterAutospacing="1" w:line="240" w:lineRule="auto"/>
        <w:rPr>
          <w:rFonts w:asciiTheme="minorHAnsi" w:hAnsiTheme="minorHAnsi" w:cstheme="minorHAnsi"/>
          <w:sz w:val="20"/>
          <w:szCs w:val="20"/>
          <w:lang w:val="es-EC"/>
        </w:rPr>
      </w:pPr>
      <w:r>
        <w:rPr>
          <w:rFonts w:asciiTheme="minorHAnsi" w:hAnsiTheme="minorHAnsi" w:cstheme="minorHAnsi"/>
          <w:sz w:val="20"/>
          <w:szCs w:val="20"/>
          <w:lang w:val="es-EC"/>
        </w:rPr>
        <w:t>Si es representante oficial y/o subsidiaria local del fabricante o productor deberá adjuntar la documentación pertinente que acredite el vínculo.</w:t>
      </w:r>
    </w:p>
    <w:p>
      <w:pPr>
        <w:pStyle w:val="64"/>
        <w:numPr>
          <w:ilvl w:val="0"/>
          <w:numId w:val="109"/>
        </w:numPr>
        <w:spacing w:before="100" w:beforeAutospacing="1" w:after="100" w:afterAutospacing="1" w:line="240" w:lineRule="auto"/>
        <w:rPr>
          <w:rFonts w:asciiTheme="minorHAnsi" w:hAnsiTheme="minorHAnsi" w:cstheme="minorHAnsi"/>
          <w:sz w:val="20"/>
          <w:szCs w:val="20"/>
          <w:lang w:val="es-EC"/>
        </w:rPr>
      </w:pPr>
      <w:r>
        <w:rPr>
          <w:rFonts w:asciiTheme="minorHAnsi" w:hAnsiTheme="minorHAnsi" w:cstheme="minorHAnsi"/>
          <w:sz w:val="20"/>
          <w:szCs w:val="20"/>
          <w:lang w:val="es-EC"/>
        </w:rPr>
        <w:t>Si es distribuidor autorizado oficialmente por el fabricante o productor deberá presentar la autorización del mismo.</w:t>
      </w:r>
    </w:p>
    <w:p>
      <w:pPr>
        <w:pStyle w:val="64"/>
        <w:numPr>
          <w:ilvl w:val="0"/>
          <w:numId w:val="109"/>
        </w:numPr>
        <w:spacing w:before="100" w:beforeAutospacing="1" w:after="100" w:afterAutospacing="1" w:line="240" w:lineRule="auto"/>
        <w:rPr>
          <w:rFonts w:asciiTheme="minorHAnsi" w:hAnsiTheme="minorHAnsi" w:cstheme="minorHAnsi"/>
          <w:sz w:val="20"/>
          <w:szCs w:val="20"/>
          <w:lang w:val="es-EC"/>
        </w:rPr>
      </w:pPr>
      <w:r>
        <w:rPr>
          <w:rFonts w:asciiTheme="minorHAnsi" w:hAnsiTheme="minorHAnsi" w:cstheme="minorHAnsi"/>
          <w:sz w:val="20"/>
          <w:szCs w:val="20"/>
          <w:lang w:val="es-EC"/>
        </w:rPr>
        <w:t>Si quien lo autoriza es la subsidiaria local y/o el representante en Ecuador del fabricante o productor, éste deberá acreditar la autorización que posee del fabricante</w:t>
      </w:r>
    </w:p>
    <w:p>
      <w:pPr>
        <w:suppressAutoHyphens/>
        <w:spacing w:before="60" w:after="60" w:line="240" w:lineRule="auto"/>
        <w:jc w:val="center"/>
        <w:rPr>
          <w:rFonts w:eastAsia="Times New Roman" w:asciiTheme="minorHAnsi" w:hAnsiTheme="minorHAnsi" w:cstheme="minorHAnsi"/>
          <w:b/>
          <w:bCs/>
          <w:sz w:val="20"/>
          <w:szCs w:val="20"/>
          <w:lang w:val="es-EC"/>
        </w:rPr>
      </w:pPr>
    </w:p>
    <w:p>
      <w:pPr>
        <w:pStyle w:val="102"/>
        <w:numPr>
          <w:ilvl w:val="2"/>
          <w:numId w:val="103"/>
        </w:numPr>
        <w:spacing w:after="0"/>
        <w:ind w:left="426"/>
        <w:jc w:val="both"/>
        <w:rPr>
          <w:rFonts w:asciiTheme="minorHAnsi" w:hAnsiTheme="minorHAnsi" w:cstheme="minorHAnsi"/>
          <w:b/>
          <w:kern w:val="0"/>
          <w:sz w:val="20"/>
          <w:szCs w:val="20"/>
          <w:u w:val="single"/>
          <w:lang w:eastAsia="en-US" w:bidi="ar-SA"/>
        </w:rPr>
      </w:pPr>
      <w:r>
        <w:rPr>
          <w:rFonts w:asciiTheme="minorHAnsi" w:hAnsiTheme="minorHAnsi" w:cstheme="minorHAnsi"/>
          <w:b/>
          <w:kern w:val="0"/>
          <w:sz w:val="20"/>
          <w:szCs w:val="20"/>
          <w:u w:val="single"/>
          <w:lang w:eastAsia="en-US" w:bidi="ar-SA"/>
        </w:rPr>
        <w:t xml:space="preserve">FICHAS TÉCNICAS </w:t>
      </w:r>
    </w:p>
    <w:p>
      <w:pPr>
        <w:pStyle w:val="102"/>
        <w:spacing w:after="0"/>
        <w:jc w:val="both"/>
        <w:rPr>
          <w:rFonts w:asciiTheme="minorHAnsi" w:hAnsiTheme="minorHAnsi" w:cstheme="minorHAnsi"/>
          <w:b/>
          <w:kern w:val="0"/>
          <w:sz w:val="20"/>
          <w:szCs w:val="20"/>
          <w:u w:val="single"/>
          <w:lang w:eastAsia="en-US" w:bidi="ar-SA"/>
        </w:rPr>
      </w:pPr>
    </w:p>
    <w:p>
      <w:pPr>
        <w:pStyle w:val="31"/>
        <w:adjustRightInd w:val="0"/>
        <w:spacing w:before="0" w:beforeAutospacing="0" w:after="0" w:afterAutospacing="0"/>
        <w:contextualSpacing/>
        <w:jc w:val="both"/>
        <w:rPr>
          <w:rFonts w:asciiTheme="minorHAnsi" w:hAnsiTheme="minorHAnsi" w:cstheme="minorHAnsi"/>
          <w:color w:val="000000"/>
          <w:sz w:val="20"/>
          <w:szCs w:val="20"/>
          <w:lang w:val="es-EC"/>
        </w:rPr>
      </w:pPr>
      <w:r>
        <w:rPr>
          <w:rFonts w:asciiTheme="minorHAnsi" w:hAnsiTheme="minorHAnsi" w:cstheme="minorHAnsi"/>
          <w:color w:val="000000"/>
          <w:sz w:val="20"/>
          <w:szCs w:val="20"/>
          <w:lang w:val="es-EC"/>
        </w:rPr>
        <w:t>NOTA: Adicionalmente a los certificados de calidad solicitados en cada una de las fichas técnicas, el equipamiento médico debe cumplir con registro sanitario, (el que aplique)</w:t>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rPr>
          <w:rFonts w:asciiTheme="minorHAnsi" w:hAnsiTheme="minorHAnsi" w:cstheme="minorHAnsi"/>
          <w:sz w:val="20"/>
          <w:szCs w:val="20"/>
          <w:lang w:val="es-EC"/>
        </w:rPr>
      </w:pPr>
      <w:r>
        <w:rPr>
          <w:rFonts w:asciiTheme="minorHAnsi" w:hAnsiTheme="minorHAnsi" w:cstheme="minorHAnsi"/>
          <w:sz w:val="20"/>
          <w:szCs w:val="20"/>
          <w:lang w:val="es-ES" w:eastAsia="es-ES"/>
        </w:rPr>
        <w:drawing>
          <wp:inline distT="0" distB="0" distL="0" distR="0">
            <wp:extent cx="5943600" cy="6193790"/>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pic:cNvPicPr>
                      <a:picLocks noChangeAspect="1" noChangeArrowheads="1"/>
                    </pic:cNvPicPr>
                  </pic:nvPicPr>
                  <pic:blipFill>
                    <a:blip r:embed="rId20" cstate="print"/>
                    <a:srcRect/>
                    <a:stretch>
                      <a:fillRect/>
                    </a:stretch>
                  </pic:blipFill>
                  <pic:spPr>
                    <a:xfrm>
                      <a:off x="0" y="0"/>
                      <a:ext cx="5943600" cy="619379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r>
        <w:rPr>
          <w:rFonts w:asciiTheme="minorHAnsi" w:hAnsiTheme="minorHAnsi" w:cstheme="minorHAnsi"/>
          <w:sz w:val="20"/>
          <w:szCs w:val="20"/>
          <w:lang w:val="es-ES" w:eastAsia="es-ES"/>
        </w:rPr>
        <w:drawing>
          <wp:inline distT="0" distB="0" distL="0" distR="0">
            <wp:extent cx="5227320" cy="7642860"/>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
                    <pic:cNvPicPr>
                      <a:picLocks noChangeAspect="1" noChangeArrowheads="1"/>
                    </pic:cNvPicPr>
                  </pic:nvPicPr>
                  <pic:blipFill>
                    <a:blip r:embed="rId21" cstate="print"/>
                    <a:srcRect/>
                    <a:stretch>
                      <a:fillRect/>
                    </a:stretch>
                  </pic:blipFill>
                  <pic:spPr>
                    <a:xfrm>
                      <a:off x="0" y="0"/>
                      <a:ext cx="5227320" cy="764286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r>
        <w:rPr>
          <w:rFonts w:asciiTheme="minorHAnsi" w:hAnsiTheme="minorHAnsi" w:cstheme="minorHAnsi"/>
          <w:sz w:val="20"/>
          <w:szCs w:val="20"/>
          <w:lang w:val="es-ES" w:eastAsia="es-ES"/>
        </w:rPr>
        <w:drawing>
          <wp:inline distT="0" distB="0" distL="0" distR="0">
            <wp:extent cx="5607050" cy="390779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pic:cNvPicPr>
                      <a:picLocks noChangeAspect="1" noChangeArrowheads="1"/>
                    </pic:cNvPicPr>
                  </pic:nvPicPr>
                  <pic:blipFill>
                    <a:blip r:embed="rId22" cstate="print"/>
                    <a:srcRect/>
                    <a:stretch>
                      <a:fillRect/>
                    </a:stretch>
                  </pic:blipFill>
                  <pic:spPr>
                    <a:xfrm>
                      <a:off x="0" y="0"/>
                      <a:ext cx="5607050" cy="390779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r>
        <w:rPr>
          <w:rFonts w:eastAsia="Calibri" w:asciiTheme="minorHAnsi" w:hAnsiTheme="minorHAnsi" w:cstheme="minorHAnsi"/>
          <w:sz w:val="20"/>
          <w:szCs w:val="20"/>
          <w:lang w:val="es-ES" w:eastAsia="es-ES"/>
        </w:rPr>
        <w:drawing>
          <wp:inline distT="0" distB="0" distL="0" distR="0">
            <wp:extent cx="4873625" cy="7263130"/>
            <wp:effectExtent l="19050" t="0" r="3175"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noChangeArrowheads="1"/>
                    </pic:cNvPicPr>
                  </pic:nvPicPr>
                  <pic:blipFill>
                    <a:blip r:embed="rId23" cstate="print"/>
                    <a:srcRect/>
                    <a:stretch>
                      <a:fillRect/>
                    </a:stretch>
                  </pic:blipFill>
                  <pic:spPr>
                    <a:xfrm>
                      <a:off x="0" y="0"/>
                      <a:ext cx="4873625" cy="726313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r>
        <w:rPr>
          <w:rFonts w:eastAsia="Calibri" w:asciiTheme="minorHAnsi" w:hAnsiTheme="minorHAnsi" w:cstheme="minorHAnsi"/>
          <w:sz w:val="20"/>
          <w:szCs w:val="20"/>
          <w:lang w:val="es-ES" w:eastAsia="es-ES"/>
        </w:rPr>
        <w:drawing>
          <wp:inline distT="0" distB="0" distL="0" distR="0">
            <wp:extent cx="5072380" cy="717740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4" cstate="print"/>
                    <a:srcRect/>
                    <a:stretch>
                      <a:fillRect/>
                    </a:stretch>
                  </pic:blipFill>
                  <pic:spPr>
                    <a:xfrm>
                      <a:off x="0" y="0"/>
                      <a:ext cx="5072380" cy="717740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r>
        <w:rPr>
          <w:rFonts w:eastAsia="Calibri" w:asciiTheme="minorHAnsi" w:hAnsiTheme="minorHAnsi" w:cstheme="minorHAnsi"/>
          <w:sz w:val="20"/>
          <w:szCs w:val="20"/>
          <w:lang w:val="es-ES" w:eastAsia="es-ES"/>
        </w:rPr>
        <w:drawing>
          <wp:inline distT="0" distB="0" distL="0" distR="0">
            <wp:extent cx="5141595" cy="698500"/>
            <wp:effectExtent l="19050" t="0" r="190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25" cstate="print"/>
                    <a:srcRect/>
                    <a:stretch>
                      <a:fillRect/>
                    </a:stretch>
                  </pic:blipFill>
                  <pic:spPr>
                    <a:xfrm>
                      <a:off x="0" y="0"/>
                      <a:ext cx="5141595" cy="69850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r>
        <w:rPr>
          <w:rFonts w:asciiTheme="minorHAnsi" w:hAnsiTheme="minorHAnsi" w:cstheme="minorHAnsi"/>
          <w:sz w:val="20"/>
          <w:szCs w:val="20"/>
          <w:lang w:val="es-ES" w:eastAsia="es-ES"/>
        </w:rPr>
        <w:drawing>
          <wp:inline distT="0" distB="0" distL="0" distR="0">
            <wp:extent cx="5158740" cy="7367270"/>
            <wp:effectExtent l="1905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26" cstate="print"/>
                    <a:srcRect/>
                    <a:stretch>
                      <a:fillRect/>
                    </a:stretch>
                  </pic:blipFill>
                  <pic:spPr>
                    <a:xfrm>
                      <a:off x="0" y="0"/>
                      <a:ext cx="5158740" cy="736727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r>
        <w:rPr>
          <w:rFonts w:asciiTheme="minorHAnsi" w:hAnsiTheme="minorHAnsi" w:cstheme="minorHAnsi"/>
          <w:sz w:val="20"/>
          <w:szCs w:val="20"/>
          <w:lang w:val="es-ES" w:eastAsia="es-ES"/>
        </w:rPr>
        <w:drawing>
          <wp:inline distT="0" distB="0" distL="0" distR="0">
            <wp:extent cx="4563110" cy="4744720"/>
            <wp:effectExtent l="19050" t="0" r="889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7" cstate="print"/>
                    <a:srcRect/>
                    <a:stretch>
                      <a:fillRect/>
                    </a:stretch>
                  </pic:blipFill>
                  <pic:spPr>
                    <a:xfrm>
                      <a:off x="0" y="0"/>
                      <a:ext cx="4563110" cy="474472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r>
        <w:rPr>
          <w:rFonts w:asciiTheme="minorHAnsi" w:hAnsiTheme="minorHAnsi" w:cstheme="minorHAnsi"/>
          <w:sz w:val="20"/>
          <w:szCs w:val="20"/>
          <w:lang w:val="es-ES" w:eastAsia="es-ES"/>
        </w:rPr>
        <w:drawing>
          <wp:inline distT="0" distB="0" distL="0" distR="0">
            <wp:extent cx="4554855" cy="628840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28" cstate="print"/>
                    <a:srcRect/>
                    <a:stretch>
                      <a:fillRect/>
                    </a:stretch>
                  </pic:blipFill>
                  <pic:spPr>
                    <a:xfrm>
                      <a:off x="0" y="0"/>
                      <a:ext cx="4554855" cy="628840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r>
        <w:rPr>
          <w:rFonts w:asciiTheme="minorHAnsi" w:hAnsiTheme="minorHAnsi" w:cstheme="minorHAnsi"/>
          <w:sz w:val="20"/>
          <w:szCs w:val="20"/>
          <w:lang w:val="es-ES" w:eastAsia="es-ES"/>
        </w:rPr>
        <w:drawing>
          <wp:inline distT="0" distB="0" distL="0" distR="0">
            <wp:extent cx="4994910" cy="393382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9" cstate="print"/>
                    <a:srcRect/>
                    <a:stretch>
                      <a:fillRect/>
                    </a:stretch>
                  </pic:blipFill>
                  <pic:spPr>
                    <a:xfrm>
                      <a:off x="0" y="0"/>
                      <a:ext cx="4994910" cy="393382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934710" cy="5926455"/>
            <wp:effectExtent l="19050" t="0" r="889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30" cstate="print"/>
                    <a:srcRect/>
                    <a:stretch>
                      <a:fillRect/>
                    </a:stretch>
                  </pic:blipFill>
                  <pic:spPr>
                    <a:xfrm>
                      <a:off x="0" y="0"/>
                      <a:ext cx="5934710" cy="592645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943600" cy="592645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31" cstate="print"/>
                    <a:srcRect/>
                    <a:stretch>
                      <a:fillRect/>
                    </a:stretch>
                  </pic:blipFill>
                  <pic:spPr>
                    <a:xfrm>
                      <a:off x="0" y="0"/>
                      <a:ext cx="5943600" cy="592645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943600" cy="7832725"/>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32" cstate="print"/>
                    <a:srcRect/>
                    <a:stretch>
                      <a:fillRect/>
                    </a:stretch>
                  </pic:blipFill>
                  <pic:spPr>
                    <a:xfrm>
                      <a:off x="0" y="0"/>
                      <a:ext cx="5943600" cy="783272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779770" cy="593471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noChangeArrowheads="1"/>
                    </pic:cNvPicPr>
                  </pic:nvPicPr>
                  <pic:blipFill>
                    <a:blip r:embed="rId33" cstate="print"/>
                    <a:srcRect/>
                    <a:stretch>
                      <a:fillRect/>
                    </a:stretch>
                  </pic:blipFill>
                  <pic:spPr>
                    <a:xfrm>
                      <a:off x="0" y="0"/>
                      <a:ext cx="5779770" cy="593471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4959985" cy="698754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34" cstate="print"/>
                    <a:srcRect/>
                    <a:stretch>
                      <a:fillRect/>
                    </a:stretch>
                  </pic:blipFill>
                  <pic:spPr>
                    <a:xfrm>
                      <a:off x="0" y="0"/>
                      <a:ext cx="4959985" cy="698754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339715" cy="573659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noChangeArrowheads="1"/>
                    </pic:cNvPicPr>
                  </pic:nvPicPr>
                  <pic:blipFill>
                    <a:blip r:embed="rId35" cstate="print"/>
                    <a:srcRect/>
                    <a:stretch>
                      <a:fillRect/>
                    </a:stretch>
                  </pic:blipFill>
                  <pic:spPr>
                    <a:xfrm>
                      <a:off x="0" y="0"/>
                      <a:ext cx="5339715" cy="573659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426075" cy="7720330"/>
            <wp:effectExtent l="19050" t="0" r="317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36" cstate="print"/>
                    <a:srcRect/>
                    <a:stretch>
                      <a:fillRect/>
                    </a:stretch>
                  </pic:blipFill>
                  <pic:spPr>
                    <a:xfrm>
                      <a:off x="0" y="0"/>
                      <a:ext cx="5426075" cy="772033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943600" cy="5977890"/>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noChangeArrowheads="1"/>
                    </pic:cNvPicPr>
                  </pic:nvPicPr>
                  <pic:blipFill>
                    <a:blip r:embed="rId37" cstate="print"/>
                    <a:srcRect/>
                    <a:stretch>
                      <a:fillRect/>
                    </a:stretch>
                  </pic:blipFill>
                  <pic:spPr>
                    <a:xfrm>
                      <a:off x="0" y="0"/>
                      <a:ext cx="5943600" cy="597789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r>
        <w:rPr>
          <w:rFonts w:eastAsia="Calibri" w:asciiTheme="minorHAnsi" w:hAnsiTheme="minorHAnsi" w:cstheme="minorHAnsi"/>
          <w:sz w:val="20"/>
          <w:szCs w:val="20"/>
          <w:lang w:val="es-ES" w:eastAsia="es-ES"/>
        </w:rPr>
        <w:drawing>
          <wp:inline distT="0" distB="0" distL="0" distR="0">
            <wp:extent cx="5313680" cy="6797675"/>
            <wp:effectExtent l="19050" t="0" r="127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noChangeArrowheads="1"/>
                    </pic:cNvPicPr>
                  </pic:nvPicPr>
                  <pic:blipFill>
                    <a:blip r:embed="rId38" cstate="print"/>
                    <a:srcRect/>
                    <a:stretch>
                      <a:fillRect/>
                    </a:stretch>
                  </pic:blipFill>
                  <pic:spPr>
                    <a:xfrm>
                      <a:off x="0" y="0"/>
                      <a:ext cx="5313680" cy="679767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Times New Roman" w:asciiTheme="minorHAnsi" w:hAnsiTheme="minorHAnsi" w:cstheme="minorHAnsi"/>
          <w:color w:val="000000"/>
          <w:sz w:val="20"/>
          <w:szCs w:val="20"/>
          <w:lang w:val="es-EC" w:eastAsia="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529580" cy="5659120"/>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noChangeArrowheads="1"/>
                    </pic:cNvPicPr>
                  </pic:nvPicPr>
                  <pic:blipFill>
                    <a:blip r:embed="rId39" cstate="print"/>
                    <a:srcRect/>
                    <a:stretch>
                      <a:fillRect/>
                    </a:stretch>
                  </pic:blipFill>
                  <pic:spPr>
                    <a:xfrm>
                      <a:off x="0" y="0"/>
                      <a:ext cx="5529580" cy="565912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r>
        <w:rPr>
          <w:rFonts w:eastAsia="Calibri" w:asciiTheme="minorHAnsi" w:hAnsiTheme="minorHAnsi" w:cstheme="minorHAnsi"/>
          <w:sz w:val="20"/>
          <w:szCs w:val="20"/>
          <w:lang w:val="es-ES" w:eastAsia="es-ES"/>
        </w:rPr>
        <w:drawing>
          <wp:inline distT="0" distB="0" distL="0" distR="0">
            <wp:extent cx="5520690" cy="6461125"/>
            <wp:effectExtent l="19050" t="0" r="381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40" cstate="print"/>
                    <a:srcRect/>
                    <a:stretch>
                      <a:fillRect/>
                    </a:stretch>
                  </pic:blipFill>
                  <pic:spPr>
                    <a:xfrm>
                      <a:off x="0" y="0"/>
                      <a:ext cx="5520690" cy="646112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Times New Roman" w:asciiTheme="minorHAnsi" w:hAnsiTheme="minorHAnsi" w:cstheme="minorHAnsi"/>
          <w:color w:val="000000"/>
          <w:sz w:val="20"/>
          <w:szCs w:val="20"/>
          <w:lang w:val="es-EC" w:eastAsia="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943600" cy="5434330"/>
            <wp:effectExtent l="1905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41" cstate="print"/>
                    <a:srcRect/>
                    <a:stretch>
                      <a:fillRect/>
                    </a:stretch>
                  </pic:blipFill>
                  <pic:spPr>
                    <a:xfrm>
                      <a:off x="0" y="0"/>
                      <a:ext cx="5943600" cy="543433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020310" cy="7021830"/>
            <wp:effectExtent l="19050" t="0" r="889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noChangeArrowheads="1"/>
                    </pic:cNvPicPr>
                  </pic:nvPicPr>
                  <pic:blipFill>
                    <a:blip r:embed="rId42" cstate="print"/>
                    <a:srcRect/>
                    <a:stretch>
                      <a:fillRect/>
                    </a:stretch>
                  </pic:blipFill>
                  <pic:spPr>
                    <a:xfrm>
                      <a:off x="0" y="0"/>
                      <a:ext cx="5020310" cy="702183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175885" cy="7168515"/>
            <wp:effectExtent l="19050" t="0" r="571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43" cstate="print"/>
                    <a:srcRect/>
                    <a:stretch>
                      <a:fillRect/>
                    </a:stretch>
                  </pic:blipFill>
                  <pic:spPr>
                    <a:xfrm>
                      <a:off x="0" y="0"/>
                      <a:ext cx="5175885" cy="716851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253355" cy="4054475"/>
            <wp:effectExtent l="19050" t="0" r="444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44" cstate="print"/>
                    <a:srcRect/>
                    <a:stretch>
                      <a:fillRect/>
                    </a:stretch>
                  </pic:blipFill>
                  <pic:spPr>
                    <a:xfrm>
                      <a:off x="0" y="0"/>
                      <a:ext cx="5253355" cy="405447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4839335" cy="7021830"/>
            <wp:effectExtent l="1905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45" cstate="print"/>
                    <a:srcRect/>
                    <a:stretch>
                      <a:fillRect/>
                    </a:stretch>
                  </pic:blipFill>
                  <pic:spPr>
                    <a:xfrm>
                      <a:off x="0" y="0"/>
                      <a:ext cx="4839335" cy="702183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607050" cy="1776730"/>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46" cstate="print"/>
                    <a:srcRect/>
                    <a:stretch>
                      <a:fillRect/>
                    </a:stretch>
                  </pic:blipFill>
                  <pic:spPr>
                    <a:xfrm>
                      <a:off x="0" y="0"/>
                      <a:ext cx="5607050" cy="177673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219065" cy="7021830"/>
            <wp:effectExtent l="19050" t="0" r="635"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47" cstate="print"/>
                    <a:srcRect/>
                    <a:stretch>
                      <a:fillRect/>
                    </a:stretch>
                  </pic:blipFill>
                  <pic:spPr>
                    <a:xfrm>
                      <a:off x="0" y="0"/>
                      <a:ext cx="5219065" cy="702183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607050" cy="3614420"/>
            <wp:effectExtent l="1905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48" cstate="print"/>
                    <a:srcRect/>
                    <a:stretch>
                      <a:fillRect/>
                    </a:stretch>
                  </pic:blipFill>
                  <pic:spPr>
                    <a:xfrm>
                      <a:off x="0" y="0"/>
                      <a:ext cx="5607050" cy="361442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4873625" cy="7108190"/>
            <wp:effectExtent l="19050" t="0" r="3175"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49" cstate="print"/>
                    <a:srcRect/>
                    <a:stretch>
                      <a:fillRect/>
                    </a:stretch>
                  </pic:blipFill>
                  <pic:spPr>
                    <a:xfrm>
                      <a:off x="0" y="0"/>
                      <a:ext cx="4873625" cy="710819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607050" cy="2700020"/>
            <wp:effectExtent l="1905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50" cstate="print"/>
                    <a:srcRect/>
                    <a:stretch>
                      <a:fillRect/>
                    </a:stretch>
                  </pic:blipFill>
                  <pic:spPr>
                    <a:xfrm>
                      <a:off x="0" y="0"/>
                      <a:ext cx="5607050" cy="270002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934710" cy="5934710"/>
            <wp:effectExtent l="19050" t="0" r="889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51" cstate="print"/>
                    <a:srcRect/>
                    <a:stretch>
                      <a:fillRect/>
                    </a:stretch>
                  </pic:blipFill>
                  <pic:spPr>
                    <a:xfrm>
                      <a:off x="0" y="0"/>
                      <a:ext cx="5934710" cy="593471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624195" cy="6012815"/>
            <wp:effectExtent l="1905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52" cstate="print"/>
                    <a:srcRect/>
                    <a:stretch>
                      <a:fillRect/>
                    </a:stretch>
                  </pic:blipFill>
                  <pic:spPr>
                    <a:xfrm>
                      <a:off x="0" y="0"/>
                      <a:ext cx="5624195" cy="601281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4787900" cy="6884035"/>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noChangeArrowheads="1"/>
                    </pic:cNvPicPr>
                  </pic:nvPicPr>
                  <pic:blipFill>
                    <a:blip r:embed="rId53" cstate="print"/>
                    <a:srcRect/>
                    <a:stretch>
                      <a:fillRect/>
                    </a:stretch>
                  </pic:blipFill>
                  <pic:spPr>
                    <a:xfrm>
                      <a:off x="0" y="0"/>
                      <a:ext cx="4787900" cy="688403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607050" cy="560705"/>
            <wp:effectExtent l="1905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noChangeArrowheads="1"/>
                    </pic:cNvPicPr>
                  </pic:nvPicPr>
                  <pic:blipFill>
                    <a:blip r:embed="rId54" cstate="print"/>
                    <a:srcRect/>
                    <a:stretch>
                      <a:fillRect/>
                    </a:stretch>
                  </pic:blipFill>
                  <pic:spPr>
                    <a:xfrm>
                      <a:off x="0" y="0"/>
                      <a:ext cx="5607050" cy="56070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Pr>
          <w:rFonts w:asciiTheme="minorHAnsi" w:hAnsiTheme="minorHAnsi" w:cstheme="minorHAnsi"/>
          <w:color w:val="000000"/>
          <w:sz w:val="20"/>
          <w:szCs w:val="20"/>
          <w:lang w:val="es-ES" w:eastAsia="es-ES"/>
        </w:rPr>
        <w:drawing>
          <wp:inline distT="0" distB="0" distL="0" distR="0">
            <wp:extent cx="5796915" cy="7427595"/>
            <wp:effectExtent l="1905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noChangeArrowheads="1"/>
                    </pic:cNvPicPr>
                  </pic:nvPicPr>
                  <pic:blipFill>
                    <a:blip r:embed="rId55" cstate="print"/>
                    <a:srcRect/>
                    <a:stretch>
                      <a:fillRect/>
                    </a:stretch>
                  </pic:blipFill>
                  <pic:spPr>
                    <a:xfrm>
                      <a:off x="0" y="0"/>
                      <a:ext cx="5796915" cy="742759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r>
        <w:rPr>
          <w:rFonts w:eastAsia="Calibri" w:asciiTheme="minorHAnsi" w:hAnsiTheme="minorHAnsi" w:cstheme="minorHAnsi"/>
          <w:sz w:val="20"/>
          <w:szCs w:val="20"/>
          <w:lang w:val="es-ES" w:eastAsia="es-ES"/>
        </w:rPr>
        <w:drawing>
          <wp:inline distT="0" distB="0" distL="0" distR="0">
            <wp:extent cx="4770120" cy="6927215"/>
            <wp:effectExtent l="1905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noChangeArrowheads="1"/>
                    </pic:cNvPicPr>
                  </pic:nvPicPr>
                  <pic:blipFill>
                    <a:blip r:embed="rId56" cstate="print"/>
                    <a:srcRect/>
                    <a:stretch>
                      <a:fillRect/>
                    </a:stretch>
                  </pic:blipFill>
                  <pic:spPr>
                    <a:xfrm>
                      <a:off x="0" y="0"/>
                      <a:ext cx="4770120" cy="6927215"/>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r>
        <w:rPr>
          <w:rFonts w:eastAsia="Calibri" w:asciiTheme="minorHAnsi" w:hAnsiTheme="minorHAnsi" w:cstheme="minorHAnsi"/>
          <w:sz w:val="20"/>
          <w:szCs w:val="20"/>
          <w:lang w:val="es-ES" w:eastAsia="es-ES"/>
        </w:rPr>
        <w:drawing>
          <wp:inline distT="0" distB="0" distL="0" distR="0">
            <wp:extent cx="5201920" cy="4528820"/>
            <wp:effectExtent l="1905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noChangeArrowheads="1"/>
                    </pic:cNvPicPr>
                  </pic:nvPicPr>
                  <pic:blipFill>
                    <a:blip r:embed="rId57" cstate="print"/>
                    <a:srcRect/>
                    <a:stretch>
                      <a:fillRect/>
                    </a:stretch>
                  </pic:blipFill>
                  <pic:spPr>
                    <a:xfrm>
                      <a:off x="0" y="0"/>
                      <a:ext cx="5201920" cy="4528820"/>
                    </a:xfrm>
                    <a:prstGeom prst="rect">
                      <a:avLst/>
                    </a:prstGeom>
                    <a:noFill/>
                    <a:ln w="9525">
                      <a:noFill/>
                      <a:miter lim="800000"/>
                      <a:headEnd/>
                      <a:tailEnd/>
                    </a:ln>
                  </pic:spPr>
                </pic:pic>
              </a:graphicData>
            </a:graphic>
          </wp:inline>
        </w:drawing>
      </w: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Calibri" w:asciiTheme="minorHAnsi" w:hAnsiTheme="minorHAnsi" w:cstheme="minorHAnsi"/>
          <w:sz w:val="20"/>
          <w:szCs w:val="20"/>
          <w:lang w:val="es-EC"/>
        </w:rPr>
      </w:pPr>
    </w:p>
    <w:p>
      <w:pPr>
        <w:pStyle w:val="31"/>
        <w:adjustRightInd w:val="0"/>
        <w:spacing w:before="0" w:beforeAutospacing="0" w:after="0" w:afterAutospacing="0"/>
        <w:ind w:left="720"/>
        <w:contextualSpacing/>
        <w:jc w:val="center"/>
        <w:rPr>
          <w:rFonts w:eastAsia="Times New Roman" w:asciiTheme="minorHAnsi" w:hAnsiTheme="minorHAnsi" w:cstheme="minorHAnsi"/>
          <w:color w:val="000000"/>
          <w:sz w:val="20"/>
          <w:szCs w:val="20"/>
          <w:lang w:val="es-EC" w:eastAsia="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31"/>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pPr>
        <w:pStyle w:val="102"/>
        <w:spacing w:after="0"/>
        <w:jc w:val="center"/>
        <w:rPr>
          <w:rFonts w:asciiTheme="minorHAnsi" w:hAnsiTheme="minorHAnsi" w:cstheme="minorHAnsi"/>
          <w:b/>
          <w:i/>
          <w:kern w:val="0"/>
          <w:sz w:val="20"/>
          <w:szCs w:val="20"/>
          <w:lang w:eastAsia="es-EC" w:bidi="ar-SA"/>
        </w:rPr>
      </w:pPr>
      <w:r>
        <w:rPr>
          <w:rFonts w:asciiTheme="minorHAnsi" w:hAnsiTheme="minorHAnsi" w:cstheme="minorHAnsi"/>
          <w:sz w:val="20"/>
          <w:szCs w:val="20"/>
          <w:lang w:val="es-ES" w:eastAsia="es-ES" w:bidi="ar-SA"/>
        </w:rPr>
        <w:drawing>
          <wp:inline distT="0" distB="0" distL="0" distR="0">
            <wp:extent cx="4968875" cy="7013575"/>
            <wp:effectExtent l="19050" t="0" r="317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noChangeArrowheads="1"/>
                    </pic:cNvPicPr>
                  </pic:nvPicPr>
                  <pic:blipFill>
                    <a:blip r:embed="rId58" cstate="print"/>
                    <a:srcRect/>
                    <a:stretch>
                      <a:fillRect/>
                    </a:stretch>
                  </pic:blipFill>
                  <pic:spPr>
                    <a:xfrm>
                      <a:off x="0" y="0"/>
                      <a:ext cx="4968875" cy="7013575"/>
                    </a:xfrm>
                    <a:prstGeom prst="rect">
                      <a:avLst/>
                    </a:prstGeom>
                    <a:noFill/>
                    <a:ln w="9525">
                      <a:noFill/>
                      <a:miter lim="800000"/>
                      <a:headEnd/>
                      <a:tailEnd/>
                    </a:ln>
                  </pic:spPr>
                </pic:pic>
              </a:graphicData>
            </a:graphic>
          </wp:inline>
        </w:drawing>
      </w:r>
    </w:p>
    <w:p>
      <w:pPr>
        <w:pStyle w:val="102"/>
        <w:spacing w:after="0"/>
        <w:jc w:val="both"/>
        <w:rPr>
          <w:rFonts w:asciiTheme="minorHAnsi" w:hAnsiTheme="minorHAnsi" w:cstheme="minorHAnsi"/>
          <w:b/>
          <w:i/>
          <w:kern w:val="0"/>
          <w:sz w:val="20"/>
          <w:szCs w:val="20"/>
          <w:lang w:eastAsia="es-EC" w:bidi="ar-SA"/>
        </w:rPr>
      </w:pPr>
    </w:p>
    <w:p>
      <w:pPr>
        <w:pStyle w:val="102"/>
        <w:spacing w:after="0"/>
        <w:jc w:val="both"/>
        <w:rPr>
          <w:rFonts w:asciiTheme="minorHAnsi" w:hAnsiTheme="minorHAnsi" w:cstheme="minorHAnsi"/>
          <w:b/>
          <w:i/>
          <w:kern w:val="0"/>
          <w:sz w:val="20"/>
          <w:szCs w:val="20"/>
          <w:lang w:eastAsia="es-EC" w:bidi="ar-SA"/>
        </w:rPr>
      </w:pPr>
    </w:p>
    <w:p>
      <w:pPr>
        <w:pStyle w:val="102"/>
        <w:spacing w:after="0"/>
        <w:jc w:val="both"/>
        <w:rPr>
          <w:rFonts w:asciiTheme="minorHAnsi" w:hAnsiTheme="minorHAnsi" w:cstheme="minorHAnsi"/>
          <w:b/>
          <w:i/>
          <w:kern w:val="0"/>
          <w:sz w:val="20"/>
          <w:szCs w:val="20"/>
          <w:lang w:eastAsia="es-EC" w:bidi="ar-SA"/>
        </w:rPr>
      </w:pPr>
    </w:p>
    <w:p>
      <w:pPr>
        <w:pStyle w:val="102"/>
        <w:spacing w:after="0"/>
        <w:jc w:val="both"/>
        <w:rPr>
          <w:rFonts w:asciiTheme="minorHAnsi" w:hAnsiTheme="minorHAnsi" w:cstheme="minorHAnsi"/>
          <w:b/>
          <w:i/>
          <w:kern w:val="0"/>
          <w:sz w:val="20"/>
          <w:szCs w:val="20"/>
          <w:lang w:eastAsia="es-EC" w:bidi="ar-SA"/>
        </w:rPr>
      </w:pPr>
    </w:p>
    <w:p>
      <w:pPr>
        <w:pStyle w:val="102"/>
        <w:spacing w:after="0"/>
        <w:jc w:val="both"/>
        <w:rPr>
          <w:rFonts w:asciiTheme="minorHAnsi" w:hAnsiTheme="minorHAnsi" w:cstheme="minorHAnsi"/>
          <w:b/>
          <w:i/>
          <w:kern w:val="0"/>
          <w:sz w:val="20"/>
          <w:szCs w:val="20"/>
          <w:lang w:eastAsia="es-EC" w:bidi="ar-SA"/>
        </w:rPr>
      </w:pPr>
    </w:p>
    <w:p>
      <w:pPr>
        <w:pStyle w:val="102"/>
        <w:spacing w:after="0"/>
        <w:jc w:val="both"/>
        <w:rPr>
          <w:rFonts w:asciiTheme="minorHAnsi" w:hAnsiTheme="minorHAnsi" w:cstheme="minorHAnsi"/>
          <w:b/>
          <w:i/>
          <w:kern w:val="0"/>
          <w:sz w:val="20"/>
          <w:szCs w:val="20"/>
          <w:lang w:eastAsia="es-EC" w:bidi="ar-SA"/>
        </w:rPr>
      </w:pPr>
    </w:p>
    <w:p>
      <w:pPr>
        <w:pStyle w:val="102"/>
        <w:numPr>
          <w:ilvl w:val="2"/>
          <w:numId w:val="103"/>
        </w:numPr>
        <w:spacing w:after="0"/>
        <w:ind w:left="284"/>
        <w:jc w:val="both"/>
        <w:rPr>
          <w:rFonts w:asciiTheme="minorHAnsi" w:hAnsiTheme="minorHAnsi" w:cstheme="minorHAnsi"/>
          <w:b/>
          <w:bCs/>
          <w:sz w:val="20"/>
          <w:szCs w:val="20"/>
        </w:rPr>
      </w:pPr>
      <w:r>
        <w:rPr>
          <w:rFonts w:asciiTheme="minorHAnsi" w:hAnsiTheme="minorHAnsi" w:cstheme="minorHAnsi"/>
          <w:b/>
          <w:bCs/>
          <w:sz w:val="20"/>
          <w:szCs w:val="20"/>
        </w:rPr>
        <w:t>GARANTÍA TÉCNICA</w:t>
      </w:r>
    </w:p>
    <w:p>
      <w:pPr>
        <w:jc w:val="both"/>
        <w:rPr>
          <w:rFonts w:asciiTheme="minorHAnsi" w:hAnsiTheme="minorHAnsi" w:cstheme="minorHAnsi"/>
          <w:sz w:val="20"/>
          <w:szCs w:val="20"/>
          <w:lang w:val="es-EC" w:eastAsia="es-EC"/>
        </w:rPr>
      </w:pP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El oferente adjudicado deberá poseer representación en Ecuador y capacidad para cumplir, durante la vigencia de la garantía técnica, sus obligaciones de reparación o reemplazo de bienes y/o sus partes según corresponda.</w:t>
      </w:r>
    </w:p>
    <w:p>
      <w:pPr>
        <w:pStyle w:val="64"/>
        <w:numPr>
          <w:ilvl w:val="3"/>
          <w:numId w:val="103"/>
        </w:numPr>
        <w:suppressAutoHyphens/>
        <w:spacing w:after="120"/>
        <w:ind w:left="709" w:firstLine="0"/>
        <w:contextualSpacing w:val="0"/>
        <w:jc w:val="both"/>
        <w:rPr>
          <w:rFonts w:asciiTheme="minorHAnsi" w:hAnsiTheme="minorHAnsi" w:cstheme="minorHAnsi"/>
          <w:sz w:val="20"/>
          <w:szCs w:val="20"/>
          <w:lang w:val="es-EC" w:eastAsia="es-EC"/>
        </w:rPr>
      </w:pPr>
      <w:r>
        <w:rPr>
          <w:rFonts w:asciiTheme="minorHAnsi" w:hAnsiTheme="minorHAnsi" w:cstheme="minorHAnsi"/>
          <w:b/>
          <w:sz w:val="20"/>
          <w:szCs w:val="20"/>
          <w:lang w:val="es-EC" w:eastAsia="es-EC"/>
        </w:rPr>
        <w:t>Garantía del fabricante:</w:t>
      </w:r>
      <w:r>
        <w:rPr>
          <w:rFonts w:asciiTheme="minorHAnsi" w:hAnsiTheme="minorHAnsi" w:cstheme="minorHAnsi"/>
          <w:sz w:val="20"/>
          <w:szCs w:val="20"/>
          <w:lang w:val="es-EC" w:eastAsia="es-EC"/>
        </w:rPr>
        <w:t xml:space="preserve"> la garantía del fabricante respecto a los equipos médicos, será considerada de la siguiente manera: los dos primeros años será responsabilidad del oferente a partir del tercero y hasta el final de su vida útil, los rubros generados (mantenimiento preventivo y correctivo) serán responsabilidad del contratante </w:t>
      </w:r>
    </w:p>
    <w:p>
      <w:pPr>
        <w:pStyle w:val="64"/>
        <w:suppressAutoHyphens/>
        <w:spacing w:after="120"/>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El oferente deberá garantizar la funcionalidad absoluta del bien contra todo posible defecto, desperfecto, falla de fabricación. En el caso de presentarse daños atribuidos por fabricación, el oferente asumirá todos los gastos de reparación o reposición inmediata o temporal sin costo para la entidad contratante.</w:t>
      </w:r>
    </w:p>
    <w:p>
      <w:pPr>
        <w:pStyle w:val="64"/>
        <w:suppressAutoHyphens/>
        <w:spacing w:after="120"/>
        <w:ind w:left="644"/>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Para determinar si el daño del equipo corresponde a una falla de fabricación o a su vez ésta depende de un factor externo o ambiental, el responsable del equipo biomédico del establecimiento de salud, distrito o coordinación zonal, remitirá el respectivo informe técnico. Esta garantía deberá cubrir además la reposición definitiva e inmediata del bien por uno nuevo, de iguales o mayores características, ante defectos graves de fabricación y/o vicios ocultos que pudieran encontrarse, deficiencias graves adquiridas en los trabajos de mantenimiento y en averías que sucedan por más de tres (3) veces por año durante el periodo de la garantía técnica de fábrica, siempre y cuando las mismas sean atribuibles a defectos de fabricación (por  (Años acorde al tiempo solicitado en la ficha técnica DNES) años); es decir, puede ocurrir en el año 1, 2, 3, 4 o (Años acorde al tiempo solicitado en la ficha técnica DNES).</w:t>
      </w:r>
    </w:p>
    <w:p>
      <w:pPr>
        <w:pStyle w:val="64"/>
        <w:suppressAutoHyphens/>
        <w:spacing w:after="120"/>
        <w:ind w:left="644"/>
        <w:jc w:val="both"/>
        <w:rPr>
          <w:rFonts w:asciiTheme="minorHAnsi" w:hAnsiTheme="minorHAnsi" w:cstheme="minorHAnsi"/>
          <w:sz w:val="20"/>
          <w:szCs w:val="20"/>
          <w:lang w:val="es-EC" w:eastAsia="es-EC"/>
        </w:rPr>
      </w:pPr>
    </w:p>
    <w:p>
      <w:pPr>
        <w:pStyle w:val="64"/>
        <w:suppressAutoHyphens/>
        <w:spacing w:after="120"/>
        <w:ind w:left="644"/>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La reposición inmediata debe cumplirse también ante ausencia definitiva de repuestos, accesorios, piezas y partes del bien que obstaculicen su normal funcionamiento durante la vigencia de garantía de fábrica. </w:t>
      </w:r>
    </w:p>
    <w:p>
      <w:pPr>
        <w:pStyle w:val="64"/>
        <w:suppressAutoHyphens/>
        <w:spacing w:after="120"/>
        <w:contextualSpacing w:val="0"/>
        <w:jc w:val="both"/>
        <w:rPr>
          <w:rFonts w:asciiTheme="minorHAnsi" w:hAnsiTheme="minorHAnsi" w:cstheme="minorHAnsi"/>
          <w:sz w:val="20"/>
          <w:szCs w:val="20"/>
          <w:lang w:val="es-EC" w:eastAsia="es-EC"/>
        </w:rPr>
      </w:pPr>
    </w:p>
    <w:p>
      <w:pPr>
        <w:pStyle w:val="64"/>
        <w:suppressAutoHyphens/>
        <w:spacing w:after="120"/>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Esta garantía será emitida por el fabricante, representante, distribuidor ó vendedor autorizado y no podrá ser menor a la descrita en cada una de las fichas técnicas. Está garantía entrará en vigencia a partir de la firma del acta entrega - recepción. </w:t>
      </w:r>
    </w:p>
    <w:p>
      <w:pPr>
        <w:pStyle w:val="64"/>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Dentro el período de vigencia de la garantía de fábrica, el proveedor se hará cargo de todos los gastos necesarios para reemplazar los materiales o partes defectuosas, así como de los gastos y riesgos derivados de fletes, embalajes, seguros, cargas, descargas y transporte de ida y vuelta desde su emplazamiento hasta el lugar previsto para su reparación.</w:t>
      </w:r>
    </w:p>
    <w:p>
      <w:pPr>
        <w:pStyle w:val="64"/>
        <w:spacing w:after="120" w:line="240" w:lineRule="auto"/>
        <w:jc w:val="both"/>
        <w:rPr>
          <w:rFonts w:asciiTheme="minorHAnsi" w:hAnsiTheme="minorHAnsi" w:cstheme="minorHAnsi"/>
          <w:sz w:val="20"/>
          <w:szCs w:val="20"/>
          <w:lang w:val="es-EC" w:eastAsia="es-EC"/>
        </w:rPr>
      </w:pPr>
    </w:p>
    <w:p>
      <w:pPr>
        <w:pStyle w:val="64"/>
        <w:numPr>
          <w:ilvl w:val="0"/>
          <w:numId w:val="110"/>
        </w:numPr>
        <w:suppressAutoHyphens/>
        <w:spacing w:after="120" w:line="240" w:lineRule="auto"/>
        <w:contextualSpacing w:val="0"/>
        <w:jc w:val="both"/>
        <w:rPr>
          <w:rFonts w:asciiTheme="minorHAnsi" w:hAnsiTheme="minorHAnsi" w:cstheme="minorHAnsi"/>
          <w:sz w:val="20"/>
          <w:szCs w:val="20"/>
          <w:lang w:val="es-EC" w:eastAsia="es-EC"/>
        </w:rPr>
      </w:pPr>
      <w:r>
        <w:rPr>
          <w:rFonts w:asciiTheme="minorHAnsi" w:hAnsiTheme="minorHAnsi" w:cstheme="minorHAnsi"/>
          <w:b/>
          <w:sz w:val="20"/>
          <w:szCs w:val="20"/>
          <w:lang w:val="es-EC" w:eastAsia="es-EC"/>
        </w:rPr>
        <w:t xml:space="preserve">Garantía técnica extendida.- </w:t>
      </w:r>
      <w:r>
        <w:rPr>
          <w:rFonts w:asciiTheme="minorHAnsi" w:hAnsiTheme="minorHAnsi" w:cstheme="minorHAnsi"/>
          <w:sz w:val="20"/>
          <w:szCs w:val="20"/>
          <w:lang w:val="es-EC" w:eastAsia="es-EC"/>
        </w:rPr>
        <w:t xml:space="preserve">Servirá para garantizar el buen funcionamiento de los equipos durante la vida útil de estos, una vez finalizada la garantía del fabricante. </w:t>
      </w:r>
    </w:p>
    <w:p>
      <w:pPr>
        <w:pStyle w:val="64"/>
        <w:spacing w:after="12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Como garantía técnica extendida deberá realizar mantenimientos preventivos, y correctivos, los cuales serán facturados contra entrega de cada visita programada realizada. De acuerdo al siguiente cuadro: </w:t>
      </w:r>
    </w:p>
    <w:p>
      <w:pPr>
        <w:pStyle w:val="64"/>
        <w:jc w:val="both"/>
        <w:rPr>
          <w:rFonts w:asciiTheme="minorHAnsi" w:hAnsiTheme="minorHAnsi" w:cstheme="minorHAnsi"/>
          <w:sz w:val="20"/>
          <w:szCs w:val="20"/>
          <w:lang w:val="es-EC" w:eastAsia="es-EC"/>
        </w:rPr>
      </w:pPr>
    </w:p>
    <w:tbl>
      <w:tblPr>
        <w:tblStyle w:val="46"/>
        <w:tblW w:w="8930" w:type="dxa"/>
        <w:tblInd w:w="496" w:type="dxa"/>
        <w:tblLayout w:type="fixed"/>
        <w:tblCellMar>
          <w:top w:w="0" w:type="dxa"/>
          <w:left w:w="70" w:type="dxa"/>
          <w:bottom w:w="0" w:type="dxa"/>
          <w:right w:w="70" w:type="dxa"/>
        </w:tblCellMar>
      </w:tblPr>
      <w:tblGrid>
        <w:gridCol w:w="2084"/>
        <w:gridCol w:w="3722"/>
        <w:gridCol w:w="1188"/>
        <w:gridCol w:w="1936"/>
      </w:tblGrid>
      <w:tr>
        <w:tblPrEx>
          <w:tblLayout w:type="fixed"/>
          <w:tblCellMar>
            <w:top w:w="0" w:type="dxa"/>
            <w:left w:w="70" w:type="dxa"/>
            <w:bottom w:w="0" w:type="dxa"/>
            <w:right w:w="70" w:type="dxa"/>
          </w:tblCellMar>
        </w:tblPrEx>
        <w:trPr>
          <w:trHeight w:val="900" w:hRule="atLeast"/>
        </w:trPr>
        <w:tc>
          <w:tcPr>
            <w:tcW w:w="20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eastAsia="Times New Roman" w:asciiTheme="minorHAnsi" w:hAnsiTheme="minorHAnsi" w:cstheme="minorHAnsi"/>
                <w:b/>
                <w:bCs/>
                <w:sz w:val="18"/>
                <w:szCs w:val="18"/>
                <w:lang w:val="es-EC" w:eastAsia="es-EC"/>
              </w:rPr>
            </w:pPr>
            <w:r>
              <w:rPr>
                <w:rFonts w:asciiTheme="minorHAnsi" w:hAnsiTheme="minorHAnsi" w:cstheme="minorHAnsi"/>
                <w:b/>
                <w:bCs/>
                <w:sz w:val="18"/>
                <w:szCs w:val="18"/>
                <w:lang w:val="es-EC"/>
              </w:rPr>
              <w:t>COD</w:t>
            </w:r>
            <w:r>
              <w:rPr>
                <w:rFonts w:asciiTheme="minorHAnsi" w:hAnsiTheme="minorHAnsi" w:cstheme="minorHAnsi"/>
                <w:b/>
                <w:bCs/>
                <w:caps/>
                <w:sz w:val="18"/>
                <w:szCs w:val="18"/>
                <w:lang w:val="es-EC"/>
              </w:rPr>
              <w:t>. Ficha técnica</w:t>
            </w:r>
          </w:p>
        </w:tc>
        <w:tc>
          <w:tcPr>
            <w:tcW w:w="3722" w:type="dxa"/>
            <w:tcBorders>
              <w:top w:val="single" w:color="auto" w:sz="4" w:space="0"/>
              <w:left w:val="nil"/>
              <w:bottom w:val="single" w:color="auto" w:sz="4" w:space="0"/>
              <w:right w:val="single" w:color="auto" w:sz="4" w:space="0"/>
            </w:tcBorders>
            <w:vAlign w:val="center"/>
          </w:tcPr>
          <w:p>
            <w:pPr>
              <w:spacing w:after="0" w:line="240" w:lineRule="auto"/>
              <w:jc w:val="center"/>
              <w:rPr>
                <w:rFonts w:eastAsia="Times New Roman" w:asciiTheme="minorHAnsi" w:hAnsiTheme="minorHAnsi" w:cstheme="minorHAnsi"/>
                <w:b/>
                <w:bCs/>
                <w:sz w:val="18"/>
                <w:szCs w:val="18"/>
                <w:lang w:val="es-EC" w:eastAsia="es-EC"/>
              </w:rPr>
            </w:pPr>
            <w:r>
              <w:rPr>
                <w:rFonts w:asciiTheme="minorHAnsi" w:hAnsiTheme="minorHAnsi" w:cstheme="minorHAnsi"/>
                <w:b/>
                <w:bCs/>
                <w:caps/>
                <w:sz w:val="18"/>
                <w:szCs w:val="18"/>
                <w:lang w:val="es-EC"/>
              </w:rPr>
              <w:t>Descripción del bien</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b/>
                <w:bCs/>
                <w:caps/>
                <w:sz w:val="18"/>
                <w:szCs w:val="18"/>
                <w:lang w:val="es-EC"/>
              </w:rPr>
            </w:pPr>
            <w:r>
              <w:rPr>
                <w:rFonts w:asciiTheme="minorHAnsi" w:hAnsiTheme="minorHAnsi" w:cstheme="minorHAnsi"/>
                <w:b/>
                <w:bCs/>
                <w:caps/>
                <w:sz w:val="18"/>
                <w:szCs w:val="18"/>
                <w:lang w:val="es-EC"/>
              </w:rPr>
              <w:t>T. Vida Útil (años)</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b/>
                <w:bCs/>
                <w:caps/>
                <w:sz w:val="18"/>
                <w:szCs w:val="18"/>
                <w:lang w:val="es-EC"/>
              </w:rPr>
            </w:pPr>
            <w:r>
              <w:rPr>
                <w:rFonts w:asciiTheme="minorHAnsi" w:hAnsiTheme="minorHAnsi" w:cstheme="minorHAnsi"/>
                <w:b/>
                <w:bCs/>
                <w:caps/>
                <w:sz w:val="18"/>
                <w:szCs w:val="18"/>
                <w:lang w:val="es-EC"/>
              </w:rPr>
              <w:t>% anual de mantenimiento preventivo</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LÁM-01-R07</w:t>
            </w:r>
          </w:p>
        </w:tc>
        <w:tc>
          <w:tcPr>
            <w:tcW w:w="3722"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LAMPARA DE FOTOTERAPIA</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INC-01-R07</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 xml:space="preserve">INCUBADORA </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INC-02-R09</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INCUBADORA PARA TRANSPORTE CONVENTILADOR Y MONITOR</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RAY-05-R02</w:t>
            </w:r>
          </w:p>
        </w:tc>
        <w:tc>
          <w:tcPr>
            <w:tcW w:w="3722" w:type="dxa"/>
            <w:tcBorders>
              <w:top w:val="single" w:color="auto" w:sz="4" w:space="0"/>
              <w:left w:val="nil"/>
              <w:bottom w:val="single" w:color="auto" w:sz="4" w:space="0"/>
              <w:right w:val="single" w:color="auto" w:sz="4" w:space="0"/>
            </w:tcBorders>
            <w:vAlign w:val="center"/>
          </w:tcPr>
          <w:p>
            <w:pPr>
              <w:autoSpaceDE w:val="0"/>
              <w:autoSpaceDN w:val="0"/>
              <w:adjustRightInd w:val="0"/>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UNIDAD DE RX DIGITAL MÓVIL PARA USO PEDIÁTRICO/NEONATAL, CON MONITOR INTEGRADO PARA VISUALIZACIÓN DE IMÁGENES</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3,50</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RES-10-R03</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VENTILADOR NEONATAL DE ALTA FRECUENCIA</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8</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4,38</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BIL-01-R05</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BILIRRUBINÓMETRO PORTÁTIL PARA NEONATOS</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PES-01-R08</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PESABEBES ELECTRONICO</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1,75</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CPA-01-R06</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CPAP NASAL PARA NEONATOS</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3,50</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BAL-15-R05</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BALANZA PESA ÓRGANOS Y PAÑALES</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1,75</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MON-06-R06</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MONITOR MULTIPARÁMETRO BÁSICO PARA TRANSPORTE DE PACIENTE NEONATAL</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CUN-01-R06</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CUNA DE CALOR RADIANTE</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LAR-02-R08</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LARINGOSCOPIO NEONATAL</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N/A</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SAC-01-R08</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SACALECHE ELECTRICO HOSPITALARIO</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BAL-11-R05</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BALANZA DE PRESICIÓN DE 6 A 7 Kg</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1,75</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FON-02-R08</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FONENDOSCOPIO NEONATAL</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N/A</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MES-47-R08</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MESA MAYO</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N/A</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MON-10-R07</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MONITOR DE SIGNOS VITALES PARA CUIDADO INTENSIVO / ANESTESIOLOGÍA</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MON-12-R08</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MONITOR DE SIGNOS VITALES PORTÁTIL PARA NIBP &amp;SPO2</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RES-03-R08</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VENTILADOR NEONATAL</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8</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4,38</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RES-02-R06</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VENTILADOR DE TRANSPORTE INTRAHOSPITALARIO</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8</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4,38</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EQU-02-R07</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EQUIPO DE REANIMACIÓN NEONATAL</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N/A</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VAC-01-R07</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VACUÓMETRO</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N/A</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CUN-02-R06</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CUNA DE CALOR RADIANTE CON SISTEMA DE GASES</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ASP-03-R09</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ASPIRADOR PORTATIL</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1,75</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CEN-02-R07</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CENTRAL DE MONITOREO DE TREINTA Y DOS TERMINALES</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10</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2,33</w:t>
            </w:r>
          </w:p>
        </w:tc>
      </w:tr>
      <w:tr>
        <w:tblPrEx>
          <w:tblLayout w:type="fixed"/>
          <w:tblCellMar>
            <w:top w:w="0" w:type="dxa"/>
            <w:left w:w="70" w:type="dxa"/>
            <w:bottom w:w="0" w:type="dxa"/>
            <w:right w:w="70" w:type="dxa"/>
          </w:tblCellMar>
        </w:tblPrEx>
        <w:trPr>
          <w:trHeight w:val="600" w:hRule="atLeast"/>
        </w:trPr>
        <w:tc>
          <w:tcPr>
            <w:tcW w:w="2084"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ANA-15-R06</w:t>
            </w:r>
          </w:p>
        </w:tc>
        <w:tc>
          <w:tcPr>
            <w:tcW w:w="3722" w:type="dxa"/>
            <w:tcBorders>
              <w:top w:val="single" w:color="auto" w:sz="4" w:space="0"/>
              <w:left w:val="nil"/>
              <w:bottom w:val="single" w:color="auto" w:sz="4" w:space="0"/>
              <w:right w:val="single" w:color="auto" w:sz="4" w:space="0"/>
            </w:tcBorders>
            <w:vAlign w:val="center"/>
          </w:tcPr>
          <w:p>
            <w:pPr>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ANALIZADOR PORTÁTIL DE GASES Y ELECTROLITOS EN SANGRE</w:t>
            </w:r>
          </w:p>
        </w:tc>
        <w:tc>
          <w:tcPr>
            <w:tcW w:w="118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6</w:t>
            </w:r>
          </w:p>
        </w:tc>
        <w:tc>
          <w:tcPr>
            <w:tcW w:w="19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Theme="minorHAnsi" w:hAnsiTheme="minorHAnsi" w:cstheme="minorHAnsi"/>
                <w:sz w:val="18"/>
                <w:szCs w:val="18"/>
                <w:lang w:val="es-EC" w:eastAsia="es-EC"/>
              </w:rPr>
            </w:pPr>
            <w:r>
              <w:rPr>
                <w:rFonts w:asciiTheme="minorHAnsi" w:hAnsiTheme="minorHAnsi" w:cstheme="minorHAnsi"/>
                <w:sz w:val="18"/>
                <w:szCs w:val="18"/>
                <w:lang w:val="es-EC" w:eastAsia="es-EC"/>
              </w:rPr>
              <w:t>2,92</w:t>
            </w:r>
          </w:p>
        </w:tc>
      </w:tr>
    </w:tbl>
    <w:p>
      <w:pPr>
        <w:pStyle w:val="64"/>
        <w:jc w:val="both"/>
        <w:rPr>
          <w:rFonts w:asciiTheme="minorHAnsi" w:hAnsiTheme="minorHAnsi" w:cstheme="minorHAnsi"/>
          <w:sz w:val="20"/>
          <w:szCs w:val="20"/>
          <w:lang w:val="es-EC" w:eastAsia="es-EC"/>
        </w:rPr>
      </w:pPr>
    </w:p>
    <w:p>
      <w:pPr>
        <w:pStyle w:val="64"/>
        <w:numPr>
          <w:ilvl w:val="0"/>
          <w:numId w:val="110"/>
        </w:numPr>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En todos los casos, y sin perjuicio de las garantías otorgadas, el Proveedor garantiza al Contratante que los Bienes cumplen con los requerimientos establecidos en el Pliego y que proveerán la funcionalidad y desempeño especificados en el mismo.</w:t>
      </w:r>
    </w:p>
    <w:p>
      <w:pPr>
        <w:pStyle w:val="64"/>
        <w:rPr>
          <w:rFonts w:asciiTheme="minorHAnsi" w:hAnsiTheme="minorHAnsi" w:cstheme="minorHAnsi"/>
          <w:sz w:val="20"/>
          <w:szCs w:val="20"/>
          <w:lang w:val="es-EC" w:eastAsia="es-EC"/>
        </w:rPr>
      </w:pPr>
    </w:p>
    <w:p>
      <w:pPr>
        <w:pStyle w:val="64"/>
        <w:numPr>
          <w:ilvl w:val="0"/>
          <w:numId w:val="110"/>
        </w:numPr>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Deberá garantizar la provisión de los repuestos, accesorios, partes y piezas necesarios para el mantenimiento preventivo periódico y correctivo.</w:t>
      </w:r>
    </w:p>
    <w:p>
      <w:pPr>
        <w:pStyle w:val="64"/>
        <w:spacing w:after="120" w:line="240" w:lineRule="auto"/>
        <w:ind w:left="0" w:firstLine="284"/>
        <w:jc w:val="both"/>
        <w:rPr>
          <w:rFonts w:asciiTheme="minorHAnsi" w:hAnsiTheme="minorHAnsi" w:cstheme="minorHAnsi"/>
          <w:sz w:val="20"/>
          <w:szCs w:val="20"/>
          <w:lang w:val="es-EC" w:eastAsia="es-EC"/>
        </w:rPr>
      </w:pPr>
    </w:p>
    <w:p>
      <w:pPr>
        <w:pStyle w:val="64"/>
        <w:spacing w:after="12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Es obligación del proveedor prestar el servicio de mantenimiento como parte de la aplicación de la garantía técnica de los equipos durante la vida útil de los mismos y garantizar la calidad del servicio de mantenimiento correctivo y de repuestos trabajos sobre los cuales deberá señalar expresamente el periodo de garantía correspondiente.</w:t>
      </w:r>
    </w:p>
    <w:p>
      <w:pPr>
        <w:pStyle w:val="4"/>
        <w:spacing w:before="0"/>
        <w:jc w:val="both"/>
        <w:rPr>
          <w:rFonts w:eastAsia="Calibri" w:asciiTheme="minorHAnsi" w:hAnsiTheme="minorHAnsi" w:cstheme="minorHAnsi"/>
          <w:bCs w:val="0"/>
          <w:color w:val="auto"/>
          <w:lang w:val="es-EC" w:eastAsia="es-EC"/>
        </w:rPr>
      </w:pPr>
      <w:r>
        <w:rPr>
          <w:rFonts w:eastAsia="Calibri" w:asciiTheme="minorHAnsi" w:hAnsiTheme="minorHAnsi" w:cstheme="minorHAnsi"/>
          <w:bCs w:val="0"/>
          <w:color w:val="auto"/>
          <w:lang w:val="es-EC" w:eastAsia="es-EC"/>
        </w:rPr>
        <w:t>Cobertura y provisión de repuestos, accesorios, partes, piezas y su disponibilidad para el mantenimiento preventivo periódico y correctivo</w:t>
      </w:r>
    </w:p>
    <w:p>
      <w:pPr>
        <w:spacing w:after="0" w:line="240" w:lineRule="auto"/>
        <w:rPr>
          <w:rFonts w:asciiTheme="minorHAnsi" w:hAnsiTheme="minorHAnsi" w:cstheme="minorHAnsi"/>
          <w:sz w:val="20"/>
          <w:szCs w:val="20"/>
          <w:lang w:val="es-EC" w:eastAsia="es-EC"/>
        </w:rPr>
      </w:pPr>
    </w:p>
    <w:p>
      <w:pPr>
        <w:pStyle w:val="36"/>
        <w:spacing w:after="0" w:line="240" w:lineRule="auto"/>
        <w:ind w:left="708"/>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Para el mantenimiento preventivo, la capacidad de respuesta por parte del Oferente en la provisión de repuestos, accesorios, partes y piezas debe ser inmediata, no mayor a 48 horas, por lo que el Oferente debe considerar tener en su stock todo lo necesario y requerido para poder impartir los mantenimientos preventivos periódicos según lo programado. </w:t>
      </w:r>
    </w:p>
    <w:p>
      <w:pPr>
        <w:pStyle w:val="36"/>
        <w:spacing w:after="0" w:line="240" w:lineRule="auto"/>
        <w:jc w:val="both"/>
        <w:rPr>
          <w:rFonts w:asciiTheme="minorHAnsi" w:hAnsiTheme="minorHAnsi" w:cstheme="minorHAnsi"/>
          <w:sz w:val="20"/>
          <w:szCs w:val="20"/>
          <w:lang w:val="es-EC" w:eastAsia="es-EC"/>
        </w:rPr>
      </w:pPr>
    </w:p>
    <w:p>
      <w:pPr>
        <w:pStyle w:val="36"/>
        <w:spacing w:after="0" w:line="240" w:lineRule="auto"/>
        <w:ind w:left="708"/>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Para el mantenimiento correctivo, la capacidad de respuesta no podrá ser mayor a 3 días calendario, una vez emitido el requerimiento formal por parte de la Entidad Contratante.  En el caso de que el proveedor incumpla los tiempos anteriormente expuestos, el administrador de contrato elaborará el informe correspondiente y comunicará a las instancias que correspondan para notificar el incumplimiento al contrato y dar paso al cumplimiento de la normativa legal vigente.</w:t>
      </w:r>
    </w:p>
    <w:p>
      <w:pPr>
        <w:pStyle w:val="36"/>
        <w:spacing w:after="0" w:line="240" w:lineRule="auto"/>
        <w:ind w:left="708"/>
        <w:jc w:val="both"/>
        <w:rPr>
          <w:rFonts w:asciiTheme="minorHAnsi" w:hAnsiTheme="minorHAnsi" w:cstheme="minorHAnsi"/>
          <w:sz w:val="20"/>
          <w:szCs w:val="20"/>
          <w:lang w:val="es-EC" w:eastAsia="es-EC"/>
        </w:rPr>
      </w:pPr>
    </w:p>
    <w:p>
      <w:pPr>
        <w:pStyle w:val="36"/>
        <w:spacing w:after="0" w:line="240" w:lineRule="auto"/>
        <w:ind w:left="708"/>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En todos los casos, los repuestos, accesorios, partes y piezas sustituidos deberán quedarse en el Establecimiento de Salud, salvo aquellos que por su naturaleza necesiten una gestión de desecho especial (radioactivos), o salvo que los mismos sean tomados como parte de pago del bien a recibirse. </w:t>
      </w:r>
    </w:p>
    <w:p>
      <w:pPr>
        <w:pStyle w:val="64"/>
        <w:spacing w:after="120" w:line="240" w:lineRule="auto"/>
        <w:ind w:left="0" w:firstLine="284"/>
        <w:jc w:val="both"/>
        <w:rPr>
          <w:rFonts w:asciiTheme="minorHAnsi" w:hAnsiTheme="minorHAnsi" w:cstheme="minorHAnsi"/>
          <w:sz w:val="20"/>
          <w:szCs w:val="20"/>
          <w:lang w:val="es-EC" w:eastAsia="es-EC"/>
        </w:rPr>
      </w:pPr>
    </w:p>
    <w:p>
      <w:pPr>
        <w:pStyle w:val="64"/>
        <w:spacing w:after="120" w:line="240" w:lineRule="auto"/>
        <w:ind w:left="0" w:firstLine="284"/>
        <w:jc w:val="both"/>
        <w:rPr>
          <w:rFonts w:asciiTheme="minorHAnsi" w:hAnsiTheme="minorHAnsi" w:cstheme="minorHAnsi"/>
          <w:b/>
          <w:sz w:val="20"/>
          <w:szCs w:val="20"/>
          <w:lang w:val="es-EC" w:eastAsia="es-EC"/>
        </w:rPr>
      </w:pPr>
    </w:p>
    <w:p>
      <w:pPr>
        <w:pStyle w:val="64"/>
        <w:spacing w:after="120" w:line="240" w:lineRule="auto"/>
        <w:ind w:left="0" w:firstLine="284"/>
        <w:jc w:val="both"/>
        <w:rPr>
          <w:rFonts w:asciiTheme="minorHAnsi" w:hAnsiTheme="minorHAnsi" w:cstheme="minorHAnsi"/>
          <w:b/>
          <w:sz w:val="20"/>
          <w:szCs w:val="20"/>
          <w:lang w:val="es-EC" w:eastAsia="es-EC"/>
        </w:rPr>
      </w:pPr>
      <w:r>
        <w:rPr>
          <w:rFonts w:asciiTheme="minorHAnsi" w:hAnsiTheme="minorHAnsi" w:cstheme="minorHAnsi"/>
          <w:b/>
          <w:sz w:val="20"/>
          <w:szCs w:val="20"/>
          <w:lang w:val="es-EC" w:eastAsia="es-EC"/>
        </w:rPr>
        <w:t>Mantenimiento Preventivo Periódico</w:t>
      </w:r>
    </w:p>
    <w:p>
      <w:pPr>
        <w:pStyle w:val="64"/>
        <w:spacing w:after="120" w:line="240" w:lineRule="auto"/>
        <w:ind w:left="0" w:firstLine="284"/>
        <w:jc w:val="both"/>
        <w:rPr>
          <w:rFonts w:asciiTheme="minorHAnsi" w:hAnsiTheme="minorHAnsi" w:cstheme="minorHAnsi"/>
          <w:b/>
          <w:sz w:val="20"/>
          <w:szCs w:val="20"/>
          <w:lang w:val="es-EC" w:eastAsia="es-EC"/>
        </w:rPr>
      </w:pPr>
    </w:p>
    <w:p>
      <w:pPr>
        <w:pStyle w:val="64"/>
        <w:numPr>
          <w:ilvl w:val="0"/>
          <w:numId w:val="111"/>
        </w:numPr>
        <w:suppressAutoHyphens/>
        <w:spacing w:after="120" w:line="240" w:lineRule="auto"/>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(a) El mantenimiento preventivo de loa Equipos Biomédicos será por todo el tiempo de vida útil de equipo establecido por la Entidad Contratante. Deberá comprender el soporte técnico regular o periódico, los insumos, partes, piezas y todas las acciones necesarias para garantizar el perfecto estado de funcionalidad del bien de conformidad con las recomendaciones establecidas en los manuales del fabricante en concordancia con lo establecido en la garantía de fábrica y garantía técnica , en cada uno de los Establecimientos de Salud</w:t>
      </w:r>
    </w:p>
    <w:p>
      <w:pPr>
        <w:pStyle w:val="64"/>
        <w:suppressAutoHyphens/>
        <w:spacing w:after="120" w:line="240" w:lineRule="auto"/>
        <w:contextualSpacing w:val="0"/>
        <w:jc w:val="both"/>
        <w:rPr>
          <w:rFonts w:eastAsia="Times New Roman" w:asciiTheme="minorHAnsi" w:hAnsiTheme="minorHAnsi" w:cstheme="minorHAnsi"/>
          <w:sz w:val="20"/>
          <w:szCs w:val="20"/>
          <w:highlight w:val="red"/>
          <w:lang w:val="es-EC" w:eastAsia="es-EC"/>
        </w:rPr>
      </w:pPr>
      <w:r>
        <w:rPr>
          <w:rFonts w:asciiTheme="minorHAnsi" w:hAnsiTheme="minorHAnsi" w:cstheme="minorHAnsi"/>
          <w:sz w:val="20"/>
          <w:szCs w:val="20"/>
          <w:lang w:val="es-EC" w:eastAsia="es-EC"/>
        </w:rPr>
        <w:t>(b) El proveedor adjudicado deberá presentar una ficha de rutina y un programa de mantenimiento preventivo, indicando las actividades a realizar en cada una de las mismas, y de ser el caso los repuestos a utilizar (elementos a ser cambiados), de acuerdo a la recomendación del fabricante. Al finalizar la garantía de fábrica, el proveedor deberá proporcionar al Establecimiento de Salud la programación de las siguientes visitas con su costo asociado</w:t>
      </w:r>
      <w:r>
        <w:rPr>
          <w:rFonts w:eastAsia="Times New Roman" w:asciiTheme="minorHAnsi" w:hAnsiTheme="minorHAnsi" w:cstheme="minorHAnsi"/>
          <w:sz w:val="20"/>
          <w:szCs w:val="20"/>
          <w:lang w:val="es-EC" w:eastAsia="es-EC"/>
        </w:rPr>
        <w:t xml:space="preserve"> para que este incorpore en su planificación el costo de los mantenimientos preventivos necesarios para cubrir la garantía extendida.</w:t>
      </w:r>
    </w:p>
    <w:p>
      <w:pPr>
        <w:pStyle w:val="64"/>
        <w:jc w:val="both"/>
        <w:rPr>
          <w:rFonts w:asciiTheme="minorHAnsi" w:hAnsiTheme="minorHAnsi" w:cstheme="minorHAnsi"/>
          <w:sz w:val="20"/>
          <w:szCs w:val="20"/>
          <w:lang w:val="es-EC" w:eastAsia="es-EC"/>
        </w:rPr>
      </w:pPr>
    </w:p>
    <w:p>
      <w:pPr>
        <w:pStyle w:val="64"/>
        <w:numPr>
          <w:ilvl w:val="0"/>
          <w:numId w:val="111"/>
        </w:numPr>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(c) Los mantenimientos preventivos periódicos deberán incluir calibraciones, ajustes, lecturas de voltaje, mediciones de radiación (en caso de requerirse) y parámetros conforme las recomendaciones de fabrica, sin costo adicional para la entidad contratante  durante la vigencia de la garantía del fabricante.</w:t>
      </w:r>
    </w:p>
    <w:p>
      <w:pPr>
        <w:pStyle w:val="64"/>
        <w:jc w:val="both"/>
        <w:rPr>
          <w:rFonts w:asciiTheme="minorHAnsi" w:hAnsiTheme="minorHAnsi" w:cstheme="minorHAnsi"/>
          <w:sz w:val="20"/>
          <w:szCs w:val="20"/>
          <w:lang w:val="es-EC" w:eastAsia="es-EC"/>
        </w:rPr>
      </w:pPr>
    </w:p>
    <w:p>
      <w:pPr>
        <w:pStyle w:val="64"/>
        <w:numPr>
          <w:ilvl w:val="0"/>
          <w:numId w:val="111"/>
        </w:numPr>
        <w:suppressAutoHyphens/>
        <w:spacing w:after="120" w:line="240" w:lineRule="auto"/>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(d) Se deberá presentar informes detallados de las actividades de cada uno de los mantenimientos con sus respectivos valores de calibración, así como el detalle de los repuestos cambiados al Establecimiento de Salud.</w:t>
      </w:r>
    </w:p>
    <w:p>
      <w:pPr>
        <w:pStyle w:val="64"/>
        <w:numPr>
          <w:ilvl w:val="0"/>
          <w:numId w:val="111"/>
        </w:numPr>
        <w:suppressAutoHyphens/>
        <w:autoSpaceDE w:val="0"/>
        <w:autoSpaceDN w:val="0"/>
        <w:adjustRightInd w:val="0"/>
        <w:spacing w:after="120" w:line="240" w:lineRule="auto"/>
        <w:ind w:left="709"/>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 El Mantenimiento Preventivo del equipo, objeto de esta contratación, se realizará  mediante visitas programadas, con el objeto de mantener las condiciones de operación del equipo conforme a la recomendación del fabricante y que no deberán ser menos que el siguiente cuadro:</w:t>
      </w:r>
    </w:p>
    <w:p>
      <w:pPr>
        <w:pStyle w:val="64"/>
        <w:suppressAutoHyphens/>
        <w:autoSpaceDE w:val="0"/>
        <w:autoSpaceDN w:val="0"/>
        <w:adjustRightInd w:val="0"/>
        <w:spacing w:after="120" w:line="240" w:lineRule="auto"/>
        <w:contextualSpacing w:val="0"/>
        <w:jc w:val="both"/>
        <w:rPr>
          <w:rFonts w:asciiTheme="minorHAnsi" w:hAnsiTheme="minorHAnsi" w:cstheme="minorHAnsi"/>
          <w:sz w:val="20"/>
          <w:szCs w:val="20"/>
          <w:lang w:val="es-EC" w:eastAsia="es-EC"/>
        </w:rPr>
      </w:pPr>
    </w:p>
    <w:tbl>
      <w:tblPr>
        <w:tblStyle w:val="46"/>
        <w:tblW w:w="9500" w:type="dxa"/>
        <w:tblInd w:w="0" w:type="dxa"/>
        <w:tblLayout w:type="fixed"/>
        <w:tblCellMar>
          <w:top w:w="0" w:type="dxa"/>
          <w:left w:w="70" w:type="dxa"/>
          <w:bottom w:w="0" w:type="dxa"/>
          <w:right w:w="70" w:type="dxa"/>
        </w:tblCellMar>
      </w:tblPr>
      <w:tblGrid>
        <w:gridCol w:w="2288"/>
        <w:gridCol w:w="4727"/>
        <w:gridCol w:w="2485"/>
      </w:tblGrid>
      <w:tr>
        <w:tblPrEx>
          <w:tblLayout w:type="fixed"/>
          <w:tblCellMar>
            <w:top w:w="0" w:type="dxa"/>
            <w:left w:w="70" w:type="dxa"/>
            <w:bottom w:w="0" w:type="dxa"/>
            <w:right w:w="70" w:type="dxa"/>
          </w:tblCellMar>
        </w:tblPrEx>
        <w:trPr>
          <w:trHeight w:val="900" w:hRule="atLeast"/>
        </w:trPr>
        <w:tc>
          <w:tcPr>
            <w:tcW w:w="2288" w:type="dxa"/>
            <w:tcBorders>
              <w:top w:val="single" w:color="auto" w:sz="4" w:space="0"/>
              <w:left w:val="single" w:color="auto" w:sz="4" w:space="0"/>
              <w:bottom w:val="single" w:color="auto" w:sz="4" w:space="0"/>
              <w:right w:val="single" w:color="auto" w:sz="4" w:space="0"/>
            </w:tcBorders>
            <w:shd w:val="clear" w:color="auto" w:fill="C6D9F1"/>
            <w:vAlign w:val="center"/>
          </w:tcPr>
          <w:p>
            <w:pPr>
              <w:spacing w:after="0" w:line="240" w:lineRule="auto"/>
              <w:jc w:val="center"/>
              <w:rPr>
                <w:rFonts w:eastAsia="Times New Roman" w:asciiTheme="minorHAnsi" w:hAnsiTheme="minorHAnsi" w:cstheme="minorHAnsi"/>
                <w:b/>
                <w:bCs/>
                <w:sz w:val="18"/>
                <w:szCs w:val="18"/>
                <w:lang w:val="es-EC" w:eastAsia="es-EC"/>
              </w:rPr>
            </w:pPr>
            <w:r>
              <w:rPr>
                <w:rFonts w:asciiTheme="minorHAnsi" w:hAnsiTheme="minorHAnsi" w:cstheme="minorHAnsi"/>
                <w:b/>
                <w:bCs/>
                <w:sz w:val="18"/>
                <w:szCs w:val="18"/>
                <w:lang w:val="es-EC"/>
              </w:rPr>
              <w:t>COD</w:t>
            </w:r>
            <w:r>
              <w:rPr>
                <w:rFonts w:asciiTheme="minorHAnsi" w:hAnsiTheme="minorHAnsi" w:cstheme="minorHAnsi"/>
                <w:b/>
                <w:bCs/>
                <w:caps/>
                <w:sz w:val="18"/>
                <w:szCs w:val="18"/>
                <w:lang w:val="es-EC"/>
              </w:rPr>
              <w:t>. Ficha técnica</w:t>
            </w:r>
          </w:p>
        </w:tc>
        <w:tc>
          <w:tcPr>
            <w:tcW w:w="4727" w:type="dxa"/>
            <w:tcBorders>
              <w:top w:val="single" w:color="auto" w:sz="4" w:space="0"/>
              <w:left w:val="nil"/>
              <w:bottom w:val="single" w:color="auto" w:sz="4" w:space="0"/>
              <w:right w:val="single" w:color="auto" w:sz="4" w:space="0"/>
            </w:tcBorders>
            <w:shd w:val="clear" w:color="auto" w:fill="C6D9F1"/>
            <w:vAlign w:val="center"/>
          </w:tcPr>
          <w:p>
            <w:pPr>
              <w:spacing w:after="0" w:line="240" w:lineRule="auto"/>
              <w:jc w:val="center"/>
              <w:rPr>
                <w:rFonts w:eastAsia="Times New Roman" w:asciiTheme="minorHAnsi" w:hAnsiTheme="minorHAnsi" w:cstheme="minorHAnsi"/>
                <w:b/>
                <w:bCs/>
                <w:sz w:val="18"/>
                <w:szCs w:val="18"/>
                <w:lang w:val="es-EC" w:eastAsia="es-EC"/>
              </w:rPr>
            </w:pPr>
            <w:r>
              <w:rPr>
                <w:rFonts w:asciiTheme="minorHAnsi" w:hAnsiTheme="minorHAnsi" w:cstheme="minorHAnsi"/>
                <w:b/>
                <w:bCs/>
                <w:caps/>
                <w:sz w:val="18"/>
                <w:szCs w:val="18"/>
                <w:lang w:val="es-EC"/>
              </w:rPr>
              <w:t>Descripción del bien</w:t>
            </w:r>
          </w:p>
        </w:tc>
        <w:tc>
          <w:tcPr>
            <w:tcW w:w="2485" w:type="dxa"/>
            <w:tcBorders>
              <w:top w:val="single" w:color="auto" w:sz="4" w:space="0"/>
              <w:left w:val="nil"/>
              <w:bottom w:val="single" w:color="auto" w:sz="4" w:space="0"/>
              <w:right w:val="single" w:color="auto" w:sz="4" w:space="0"/>
            </w:tcBorders>
            <w:shd w:val="clear" w:color="auto" w:fill="C6D9F1"/>
            <w:vAlign w:val="center"/>
          </w:tcPr>
          <w:p>
            <w:pPr>
              <w:spacing w:after="0" w:line="240" w:lineRule="auto"/>
              <w:jc w:val="center"/>
              <w:rPr>
                <w:rFonts w:eastAsia="Times New Roman" w:asciiTheme="minorHAnsi" w:hAnsiTheme="minorHAnsi" w:cstheme="minorHAnsi"/>
                <w:b/>
                <w:bCs/>
                <w:sz w:val="18"/>
                <w:szCs w:val="18"/>
                <w:lang w:val="es-EC" w:eastAsia="es-EC"/>
              </w:rPr>
            </w:pPr>
            <w:r>
              <w:rPr>
                <w:rFonts w:asciiTheme="minorHAnsi" w:hAnsiTheme="minorHAnsi" w:cstheme="minorHAnsi"/>
                <w:b/>
                <w:bCs/>
                <w:caps/>
                <w:sz w:val="18"/>
                <w:szCs w:val="18"/>
                <w:lang w:val="es-EC"/>
              </w:rPr>
              <w:t>VISITAS DE MANTENIMIENTO PREVENTIVO AL AÑO</w:t>
            </w:r>
          </w:p>
        </w:tc>
      </w:tr>
      <w:tr>
        <w:tblPrEx>
          <w:tblLayout w:type="fixed"/>
          <w:tblCellMar>
            <w:top w:w="0" w:type="dxa"/>
            <w:left w:w="70" w:type="dxa"/>
            <w:bottom w:w="0" w:type="dxa"/>
            <w:right w:w="70" w:type="dxa"/>
          </w:tblCellMar>
        </w:tblPrEx>
        <w:trPr>
          <w:trHeight w:val="339"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LÁM-01-R07</w:t>
            </w:r>
          </w:p>
        </w:tc>
        <w:tc>
          <w:tcPr>
            <w:tcW w:w="472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LAMPARA DE FOTOTERAPIA</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sz w:val="18"/>
                <w:szCs w:val="18"/>
                <w:lang w:val="es-EC" w:eastAsia="es-EC"/>
              </w:rPr>
              <w:t>SEMESTRAL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INC-01-R07</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INCUBADORA</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sz w:val="18"/>
                <w:szCs w:val="18"/>
                <w:lang w:val="es-EC" w:eastAsia="es-EC"/>
              </w:rPr>
            </w:pPr>
            <w:r>
              <w:rPr>
                <w:rFonts w:eastAsia="Times New Roman" w:asciiTheme="minorHAnsi" w:hAnsiTheme="minorHAnsi" w:cstheme="minorHAnsi"/>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INC-02-R09</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INCUBADORA PARA TRANSPORTE CON VENTILADOR Y MONITOR</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RAY-05-R02</w:t>
            </w:r>
          </w:p>
        </w:tc>
        <w:tc>
          <w:tcPr>
            <w:tcW w:w="4727"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UNIDAD DE RX DIGITAL MÓVIL PARA USO PEDIÁTRICO/NEONATAL, CON MONITOR INTEGRADO PARA VISUALIZACIÓN DE IMÁGENES</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RES-10-R03</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 DE ALTA FRECUENCIA</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BIL-01-R05</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BILIRRUBINÓMETRO PORTÁTIL PARA NEONATOS</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SEMESTRAL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PES-01-R08</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PESABEBES ELECTRONICO</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SEMESTRAL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CPA-01-R06</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CPAP NASAL PARA NEONATOS</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BAL-15-R05</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BALANZA PESA ÓRGANOS Y PAÑALES</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SEMESTRAL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MON-06-R06</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MONITOR MULTIPARÁMETRO BÁSICO PARA TRANSPORTE DE PACIENTE NEONATAL</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SEMESTRAL</w:t>
            </w:r>
          </w:p>
        </w:tc>
      </w:tr>
      <w:tr>
        <w:tblPrEx>
          <w:tblLayout w:type="fixed"/>
          <w:tblCellMar>
            <w:top w:w="0" w:type="dxa"/>
            <w:left w:w="70" w:type="dxa"/>
            <w:bottom w:w="0" w:type="dxa"/>
            <w:right w:w="70" w:type="dxa"/>
          </w:tblCellMar>
        </w:tblPrEx>
        <w:trPr>
          <w:trHeight w:val="314"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cstheme="minorHAnsi"/>
                <w:sz w:val="18"/>
                <w:szCs w:val="18"/>
                <w:lang w:val="es-EC"/>
              </w:rPr>
            </w:pPr>
            <w:r>
              <w:rPr>
                <w:rFonts w:asciiTheme="minorHAnsi" w:hAnsiTheme="minorHAnsi" w:cstheme="minorHAnsi"/>
                <w:sz w:val="18"/>
                <w:szCs w:val="18"/>
                <w:lang w:val="es-EC"/>
              </w:rPr>
              <w:t>CUN-01-R06</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CUNA DE CALOR RADIANTE</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LAR-02-R08</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LARINGOSCOPIO NEONATAL</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N/A</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SAC-01-R08</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SACALECHE ELECTRICO HOSPITALARIO</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ANUAL</w:t>
            </w:r>
          </w:p>
        </w:tc>
      </w:tr>
      <w:tr>
        <w:tblPrEx>
          <w:tblLayout w:type="fixed"/>
          <w:tblCellMar>
            <w:top w:w="0" w:type="dxa"/>
            <w:left w:w="70" w:type="dxa"/>
            <w:bottom w:w="0" w:type="dxa"/>
            <w:right w:w="70" w:type="dxa"/>
          </w:tblCellMar>
        </w:tblPrEx>
        <w:trPr>
          <w:trHeight w:val="289"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color w:val="000000"/>
                <w:sz w:val="18"/>
                <w:szCs w:val="18"/>
                <w:lang w:val="es-EC" w:eastAsia="es-EC"/>
              </w:rPr>
              <w:t>BAL-11-R05</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b/>
                <w:bCs/>
                <w:color w:val="000000"/>
                <w:sz w:val="18"/>
                <w:szCs w:val="18"/>
                <w:lang w:val="es-EC" w:eastAsia="es-EC"/>
              </w:rPr>
            </w:pPr>
            <w:r>
              <w:rPr>
                <w:rFonts w:eastAsia="Times New Roman" w:asciiTheme="minorHAnsi" w:hAnsiTheme="minorHAnsi" w:cstheme="minorHAnsi"/>
                <w:color w:val="000000"/>
                <w:sz w:val="18"/>
                <w:szCs w:val="18"/>
                <w:lang w:val="es-EC" w:eastAsia="es-EC"/>
              </w:rPr>
              <w:t>BALANZA DE PRESICIÓN DE 6 A 7 Kg</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SEMESTRAL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FON-02-R08</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FONENDOSCOPIO NEONATAL</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N/A</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MES-47-R08</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MESA MAYO</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N/A</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MON-10-R07</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MONITOR DE SIGNOS VITALES PARA CUIDADO INTENSIVO / ANESTESIOLOGÍA</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SEMESTRAL</w:t>
            </w:r>
          </w:p>
        </w:tc>
      </w:tr>
      <w:tr>
        <w:tblPrEx>
          <w:tblLayout w:type="fixed"/>
          <w:tblCellMar>
            <w:top w:w="0" w:type="dxa"/>
            <w:left w:w="70" w:type="dxa"/>
            <w:bottom w:w="0" w:type="dxa"/>
            <w:right w:w="70" w:type="dxa"/>
          </w:tblCellMar>
        </w:tblPrEx>
        <w:trPr>
          <w:trHeight w:val="349"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MON-12-R08</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MONITOR DE SIGNOS VITALES PORTÁTIL PARA NIBP &amp;SPO2</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SEMESTRAL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RES-03-R08</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NEONATAL</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RES-02-R06</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VENTILADOR DE TRANSPORTE INTRAHOSPITALARIO</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EQU-02-R07</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EQUIPO DE REANIMACIÓN NEONATAL</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N/A</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VAC-01-R07</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VACUÓMETRO</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N/A</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CUN-02-R06</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CUNA DE CALOR RADIANTE CON SISTEMA DE GASES</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ASP-03-R09</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ASPIRADOR PORTATIL</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TRIMESTRAL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CEN-02-R07</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CENTRAL DE MONITOREO DE TREINTA Y DOS TERMINALES</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SEMESTRAL</w:t>
            </w:r>
          </w:p>
        </w:tc>
      </w:tr>
      <w:tr>
        <w:tblPrEx>
          <w:tblLayout w:type="fixed"/>
          <w:tblCellMar>
            <w:top w:w="0" w:type="dxa"/>
            <w:left w:w="70" w:type="dxa"/>
            <w:bottom w:w="0" w:type="dxa"/>
            <w:right w:w="70" w:type="dxa"/>
          </w:tblCellMar>
        </w:tblPrEx>
        <w:trPr>
          <w:trHeight w:val="300" w:hRule="atLeast"/>
        </w:trPr>
        <w:tc>
          <w:tcPr>
            <w:tcW w:w="2288" w:type="dxa"/>
            <w:tcBorders>
              <w:top w:val="nil"/>
              <w:left w:val="single" w:color="auto" w:sz="4" w:space="0"/>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ANA-15-R06</w:t>
            </w:r>
          </w:p>
        </w:tc>
        <w:tc>
          <w:tcPr>
            <w:tcW w:w="4727" w:type="dxa"/>
            <w:tcBorders>
              <w:top w:val="nil"/>
              <w:left w:val="nil"/>
              <w:bottom w:val="single" w:color="auto" w:sz="4" w:space="0"/>
              <w:right w:val="single" w:color="auto" w:sz="4" w:space="0"/>
            </w:tcBorders>
            <w:shd w:val="clear" w:color="auto" w:fill="auto"/>
            <w:vAlign w:val="center"/>
          </w:tcPr>
          <w:p>
            <w:pPr>
              <w:jc w:val="center"/>
              <w:rPr>
                <w:rFonts w:eastAsia="Times New Roman" w:asciiTheme="minorHAnsi" w:hAnsiTheme="minorHAnsi" w:cstheme="minorHAnsi"/>
                <w:color w:val="000000"/>
                <w:sz w:val="18"/>
                <w:szCs w:val="18"/>
                <w:lang w:val="es-EC" w:eastAsia="es-EC"/>
              </w:rPr>
            </w:pPr>
            <w:r>
              <w:rPr>
                <w:rFonts w:eastAsia="Times New Roman" w:asciiTheme="minorHAnsi" w:hAnsiTheme="minorHAnsi" w:cstheme="minorHAnsi"/>
                <w:color w:val="000000"/>
                <w:sz w:val="18"/>
                <w:szCs w:val="18"/>
                <w:lang w:val="es-EC" w:eastAsia="es-EC"/>
              </w:rPr>
              <w:t>ANALIZADOR PORTÁTIL DE GASES Y ELECTROLITOS EN SANGRE</w:t>
            </w:r>
          </w:p>
        </w:tc>
        <w:tc>
          <w:tcPr>
            <w:tcW w:w="248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eastAsia="Times New Roman" w:asciiTheme="minorHAnsi" w:hAnsiTheme="minorHAnsi" w:cstheme="minorHAnsi"/>
                <w:color w:val="FF0000"/>
                <w:sz w:val="18"/>
                <w:szCs w:val="18"/>
                <w:lang w:val="es-EC" w:eastAsia="es-EC"/>
              </w:rPr>
            </w:pPr>
            <w:r>
              <w:rPr>
                <w:rFonts w:eastAsia="Times New Roman" w:asciiTheme="minorHAnsi" w:hAnsiTheme="minorHAnsi" w:cstheme="minorHAnsi"/>
                <w:color w:val="000000"/>
                <w:sz w:val="18"/>
                <w:szCs w:val="18"/>
                <w:lang w:val="es-EC" w:eastAsia="es-EC"/>
              </w:rPr>
              <w:t>SEMESTRAL</w:t>
            </w:r>
          </w:p>
        </w:tc>
      </w:tr>
    </w:tbl>
    <w:p>
      <w:pPr>
        <w:pStyle w:val="64"/>
        <w:suppressAutoHyphens/>
        <w:autoSpaceDE w:val="0"/>
        <w:autoSpaceDN w:val="0"/>
        <w:adjustRightInd w:val="0"/>
        <w:spacing w:after="120" w:line="240" w:lineRule="auto"/>
        <w:contextualSpacing w:val="0"/>
        <w:jc w:val="both"/>
        <w:rPr>
          <w:rFonts w:asciiTheme="minorHAnsi" w:hAnsiTheme="minorHAnsi" w:cstheme="minorHAnsi"/>
          <w:sz w:val="20"/>
          <w:szCs w:val="20"/>
          <w:lang w:val="es-EC" w:eastAsia="es-EC"/>
        </w:rPr>
      </w:pPr>
    </w:p>
    <w:p>
      <w:pPr>
        <w:pStyle w:val="36"/>
        <w:spacing w:before="74" w:line="360" w:lineRule="auto"/>
        <w:ind w:left="567" w:right="702"/>
        <w:jc w:val="both"/>
        <w:rPr>
          <w:rFonts w:asciiTheme="minorHAnsi" w:hAnsiTheme="minorHAnsi" w:cstheme="minorHAnsi"/>
          <w:sz w:val="20"/>
          <w:szCs w:val="20"/>
          <w:lang w:val="es-EC" w:eastAsia="es-EC"/>
        </w:rPr>
      </w:pPr>
      <w:r>
        <w:rPr>
          <w:rFonts w:asciiTheme="minorHAnsi" w:hAnsiTheme="minorHAnsi" w:cstheme="minorHAnsi"/>
          <w:spacing w:val="-1"/>
          <w:sz w:val="20"/>
          <w:szCs w:val="20"/>
          <w:lang w:val="es-EC"/>
        </w:rPr>
        <w:t xml:space="preserve">(f) </w:t>
      </w:r>
      <w:r>
        <w:rPr>
          <w:rFonts w:asciiTheme="minorHAnsi" w:hAnsiTheme="minorHAnsi" w:cstheme="minorHAnsi"/>
          <w:sz w:val="20"/>
          <w:szCs w:val="20"/>
          <w:lang w:val="es-EC" w:eastAsia="es-EC"/>
        </w:rPr>
        <w:t xml:space="preserve">El mantenimiento preventivo del equipo se ejecutará de la siguiente manera: </w:t>
      </w:r>
    </w:p>
    <w:p>
      <w:pPr>
        <w:pStyle w:val="36"/>
        <w:widowControl w:val="0"/>
        <w:numPr>
          <w:ilvl w:val="0"/>
          <w:numId w:val="112"/>
        </w:numPr>
        <w:spacing w:after="0" w:line="240" w:lineRule="auto"/>
        <w:ind w:right="702"/>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Dos (2) años en los que los mantenimientos preventivos, repuestos y accesorios no tendrán costos para el establecimiento de salud. </w:t>
      </w:r>
    </w:p>
    <w:p>
      <w:pPr>
        <w:pStyle w:val="36"/>
        <w:widowControl w:val="0"/>
        <w:numPr>
          <w:ilvl w:val="0"/>
          <w:numId w:val="112"/>
        </w:numPr>
        <w:spacing w:after="0" w:line="240" w:lineRule="auto"/>
        <w:ind w:right="702"/>
        <w:jc w:val="both"/>
        <w:rPr>
          <w:rFonts w:asciiTheme="minorHAnsi" w:hAnsiTheme="minorHAnsi" w:cstheme="minorHAnsi"/>
          <w:spacing w:val="-1"/>
          <w:sz w:val="20"/>
          <w:szCs w:val="20"/>
          <w:lang w:val="es-EC"/>
        </w:rPr>
      </w:pPr>
      <w:r>
        <w:rPr>
          <w:rFonts w:asciiTheme="minorHAnsi" w:hAnsiTheme="minorHAnsi" w:cstheme="minorHAnsi"/>
          <w:sz w:val="20"/>
          <w:szCs w:val="20"/>
          <w:lang w:val="es-EC" w:eastAsia="es-EC"/>
        </w:rPr>
        <w:t>A partir del tercer (3) año y hasta el final de su vida útil, los mantenimientos preventivos, repuestos accesorios y mantenimientos preventivos y correctivos, será</w:t>
      </w:r>
      <w:r>
        <w:rPr>
          <w:rFonts w:asciiTheme="minorHAnsi" w:hAnsiTheme="minorHAnsi" w:cstheme="minorHAnsi"/>
          <w:spacing w:val="-1"/>
          <w:sz w:val="20"/>
          <w:szCs w:val="20"/>
          <w:lang w:val="es-EC"/>
        </w:rPr>
        <w:t xml:space="preserve"> </w:t>
      </w:r>
      <w:r>
        <w:rPr>
          <w:rFonts w:asciiTheme="minorHAnsi" w:hAnsiTheme="minorHAnsi" w:cstheme="minorHAnsi"/>
          <w:sz w:val="20"/>
          <w:szCs w:val="20"/>
          <w:lang w:val="es-EC" w:eastAsia="es-EC"/>
        </w:rPr>
        <w:t xml:space="preserve">asumido por el Establecimiento de Salud en base a las atribuciones y responsabilidades determinadas en el Estatuto Orgánico Sustitutivo de Gestión Organizacional por procesos del Ministerio de Salud Pública, el contratista tendrá la obligación de continuar brindando los servicios de mantenimientos preventivos y correctivos luego de finalizada la vigencia de la garantía de fábrica. Los pagos se realizarán contra la presentación de la factura por el contratista e informe de satisfacción por parte del Establecimiento de Salud </w:t>
      </w:r>
    </w:p>
    <w:p>
      <w:pPr>
        <w:spacing w:after="0" w:line="240" w:lineRule="auto"/>
        <w:jc w:val="both"/>
        <w:rPr>
          <w:rFonts w:asciiTheme="minorHAnsi" w:hAnsiTheme="minorHAnsi" w:cstheme="minorHAnsi"/>
          <w:sz w:val="20"/>
          <w:szCs w:val="20"/>
          <w:lang w:val="es-EC" w:eastAsia="es-EC"/>
        </w:rPr>
      </w:pPr>
    </w:p>
    <w:p>
      <w:pPr>
        <w:pStyle w:val="64"/>
        <w:spacing w:after="120" w:line="240" w:lineRule="auto"/>
        <w:ind w:left="0" w:firstLine="708"/>
        <w:jc w:val="both"/>
        <w:rPr>
          <w:rFonts w:asciiTheme="minorHAnsi" w:hAnsiTheme="minorHAnsi" w:cstheme="minorHAnsi"/>
          <w:b/>
          <w:sz w:val="20"/>
          <w:szCs w:val="20"/>
          <w:lang w:val="es-EC" w:eastAsia="es-EC"/>
        </w:rPr>
      </w:pPr>
    </w:p>
    <w:p>
      <w:pPr>
        <w:pStyle w:val="64"/>
        <w:spacing w:after="120" w:line="240" w:lineRule="auto"/>
        <w:ind w:left="0" w:firstLine="708"/>
        <w:jc w:val="both"/>
        <w:rPr>
          <w:rFonts w:asciiTheme="minorHAnsi" w:hAnsiTheme="minorHAnsi" w:cstheme="minorHAnsi"/>
          <w:b/>
          <w:sz w:val="20"/>
          <w:szCs w:val="20"/>
          <w:lang w:val="es-EC" w:eastAsia="es-EC"/>
        </w:rPr>
      </w:pPr>
    </w:p>
    <w:p>
      <w:pPr>
        <w:pStyle w:val="64"/>
        <w:spacing w:after="120" w:line="240" w:lineRule="auto"/>
        <w:ind w:left="0" w:firstLine="708"/>
        <w:jc w:val="both"/>
        <w:rPr>
          <w:rFonts w:asciiTheme="minorHAnsi" w:hAnsiTheme="minorHAnsi" w:cstheme="minorHAnsi"/>
          <w:b/>
          <w:sz w:val="20"/>
          <w:szCs w:val="20"/>
          <w:lang w:val="es-EC" w:eastAsia="es-EC"/>
        </w:rPr>
      </w:pPr>
      <w:r>
        <w:rPr>
          <w:rFonts w:asciiTheme="minorHAnsi" w:hAnsiTheme="minorHAnsi" w:cstheme="minorHAnsi"/>
          <w:b/>
          <w:sz w:val="20"/>
          <w:szCs w:val="20"/>
          <w:lang w:val="es-EC" w:eastAsia="es-EC"/>
        </w:rPr>
        <w:t>Mantenimiento Correctivo</w:t>
      </w:r>
    </w:p>
    <w:p>
      <w:pPr>
        <w:pStyle w:val="64"/>
        <w:spacing w:after="120" w:line="240" w:lineRule="auto"/>
        <w:ind w:left="0" w:firstLine="708"/>
        <w:jc w:val="both"/>
        <w:rPr>
          <w:rFonts w:asciiTheme="minorHAnsi" w:hAnsiTheme="minorHAnsi" w:cstheme="minorHAnsi"/>
          <w:b/>
          <w:sz w:val="20"/>
          <w:szCs w:val="20"/>
          <w:lang w:val="es-EC" w:eastAsia="es-EC"/>
        </w:rPr>
      </w:pPr>
    </w:p>
    <w:p>
      <w:pPr>
        <w:pStyle w:val="64"/>
        <w:numPr>
          <w:ilvl w:val="0"/>
          <w:numId w:val="113"/>
        </w:numPr>
        <w:suppressAutoHyphens/>
        <w:spacing w:after="120" w:line="240" w:lineRule="auto"/>
        <w:ind w:left="1276" w:hanging="425"/>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Debe comprender la reparación inmediata del bien en caso de daño o defecto de funcionamiento, la provisión e instalación de repuestos, accesorios, piezas o partes, así como la oportunidad de ejecutar todas las acciones necesarias para garantizar su funcionalidad y operatividad en cada uno de los Establecimientos de Salud.</w:t>
      </w:r>
    </w:p>
    <w:p>
      <w:pPr>
        <w:pStyle w:val="64"/>
        <w:numPr>
          <w:ilvl w:val="0"/>
          <w:numId w:val="113"/>
        </w:numPr>
        <w:suppressAutoHyphens/>
        <w:spacing w:after="120" w:line="240" w:lineRule="auto"/>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Para la aplicación del mantenimiento correctivo, el proveedor deberá realizar la inspección de los equipos y junto a un informe técnico determinar el motivo del daño, las acciones a realizar y el tiempo estimado para su reparación a las siguientes 48 horas de reportado el evento por los medios establecidos para asistencia técnica y respuesta temprana, el cual deberá ser entregado en la dirección del Establecimiento de Salud.</w:t>
      </w:r>
    </w:p>
    <w:p>
      <w:pPr>
        <w:pStyle w:val="64"/>
        <w:numPr>
          <w:ilvl w:val="0"/>
          <w:numId w:val="113"/>
        </w:numPr>
        <w:suppressAutoHyphens/>
        <w:spacing w:after="120"/>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En función del informe técnico, se determinará la reposición o reparación del bien en caso de daño o defecto de funcionamiento en el período comprendido en la garantía del fabricante, la provisión e instalación de repuestos, accesorios, piezas, partes, así como la todas las acciones necesarias para garantizar la funcionalidad y prestación del servicio público (Garantía técnica) conforme las siguientes disposiciones:</w:t>
      </w:r>
    </w:p>
    <w:p>
      <w:pPr>
        <w:pStyle w:val="64"/>
        <w:numPr>
          <w:ilvl w:val="0"/>
          <w:numId w:val="113"/>
        </w:numPr>
        <w:suppressAutoHyphens/>
        <w:spacing w:after="120"/>
        <w:ind w:left="709" w:hanging="425"/>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En caso de reposición temporal.- El tiempo máximo para la reposición o la reparación del bien no podrá exceder de 3 días hábiles, posteriores a la entrega del Informe Técnico. Se podrá proceder con la reposición temporal o la compensación del equipo en el caso de que presente fallas o daños atribuibles a su desempeño propio, cuando supere los tiempos de inactividad establecidos por mantenimiento (Garantía técnica). En caso de que el equipo ingrese a los centros autorizados de servicio o lugares de reparación, el proveedor deberá disponer de bienes con similares características que será entregado al comprador para su uso temporal hasta que el bien sea reparado, de tal forma que el servicio se encuentre operativo para la prestación ininterrumpida de los servicios ciudadanos.</w:t>
      </w:r>
    </w:p>
    <w:p>
      <w:pPr>
        <w:pStyle w:val="64"/>
        <w:spacing w:after="120"/>
        <w:ind w:left="709"/>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En el caso que la falla fuese atribuible a una mala utilización por parte del personal del Establecimiento de Salud o caso fortuito se solicitará al proveedor el servicio de reposición, para lo cual la Entidad Contratante asumirá los costos que implica dicha reposición. </w:t>
      </w:r>
    </w:p>
    <w:p>
      <w:pPr>
        <w:pStyle w:val="64"/>
        <w:spacing w:after="120"/>
        <w:ind w:left="709"/>
        <w:jc w:val="both"/>
        <w:rPr>
          <w:rFonts w:asciiTheme="minorHAnsi" w:hAnsiTheme="minorHAnsi" w:cstheme="minorHAnsi"/>
          <w:sz w:val="20"/>
          <w:szCs w:val="20"/>
          <w:lang w:val="es-EC" w:eastAsia="es-EC"/>
        </w:rPr>
      </w:pPr>
    </w:p>
    <w:p>
      <w:pPr>
        <w:pStyle w:val="64"/>
        <w:spacing w:after="120"/>
        <w:ind w:left="709"/>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El proveedor asumirá los costos de la reposición temporal del equipo durante los trabajos de mantenimiento que impidan su utilización cuando exceda los plazos establecidos por encima del 3% anual del tiempo destinado al mantenimiento por alta disponibilidad o cuando se presenten fallas o daños atribuibles al fabricante. </w:t>
      </w:r>
    </w:p>
    <w:p>
      <w:pPr>
        <w:pStyle w:val="64"/>
        <w:spacing w:after="120"/>
        <w:ind w:left="709"/>
        <w:jc w:val="both"/>
        <w:rPr>
          <w:rFonts w:asciiTheme="minorHAnsi" w:hAnsiTheme="minorHAnsi" w:cstheme="minorHAnsi"/>
          <w:sz w:val="20"/>
          <w:szCs w:val="20"/>
          <w:lang w:val="es-EC" w:eastAsia="es-EC"/>
        </w:rPr>
      </w:pPr>
    </w:p>
    <w:p>
      <w:pPr>
        <w:pStyle w:val="64"/>
        <w:numPr>
          <w:ilvl w:val="0"/>
          <w:numId w:val="113"/>
        </w:numPr>
        <w:suppressAutoHyphens/>
        <w:spacing w:after="120"/>
        <w:ind w:left="709" w:hanging="425"/>
        <w:contextualSpacing w:val="0"/>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En caso de reposición definitiva.- El proveedor realizará la reposición definitiva, cuando el o los equipos médicos deban ser remplazados durante el tiempo de Garantía de Fábrica al no poder ser reparados efectivamente con un mantenimiento correctivo, siempre y cuando las causas sean imputables a defectos de fabricación y/o vicios ocultos que pudieran encontrarse, deficiencias en los trabajos de mantenimiento, ausencia de repuestos, accesorios, piezas, partes del bien o si durante 3 (tres) veces en un año el equipo sufriera desperfectos que obstaculicen su normal funcionamiento y la continuidad en la prestación de los servicios ciudadanos, en estos casos el equipo deberá ser remplazo por uno nuevo de iguales o mayores características o especificaciones técnicas.</w:t>
      </w:r>
    </w:p>
    <w:p>
      <w:pPr>
        <w:spacing w:before="60" w:after="140"/>
        <w:ind w:left="709"/>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La reposición de los equipos se realizará en un plazo máximo de 30 (treinta) días, computados a partir de la notificación por escrito por parte del Establecimiento de Salud.</w:t>
      </w:r>
    </w:p>
    <w:p>
      <w:pPr>
        <w:pStyle w:val="64"/>
        <w:numPr>
          <w:ilvl w:val="0"/>
          <w:numId w:val="113"/>
        </w:numPr>
        <w:spacing w:after="0" w:line="240" w:lineRule="auto"/>
        <w:ind w:left="709" w:hanging="425"/>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El costo del Servicio de Mantenimiento Correctivo que sea atribuible a la Garantía del Fabricante será asumido por el proveedor. En ese caso, el proveedor asumirá todos los gastos por el retiro de los equipos y la instalación de los equipos (viáticos, transporte, hospedaje, gastos de importación, costo de los materiales, mano de obra, costos indirectos, impuestos, tasas vigentes, entre otros en la entrega del o los equipos).</w:t>
      </w:r>
    </w:p>
    <w:p>
      <w:pPr>
        <w:pStyle w:val="64"/>
        <w:spacing w:after="120" w:line="240" w:lineRule="auto"/>
        <w:ind w:left="709"/>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 </w:t>
      </w:r>
    </w:p>
    <w:p>
      <w:pPr>
        <w:pStyle w:val="64"/>
        <w:numPr>
          <w:ilvl w:val="0"/>
          <w:numId w:val="114"/>
        </w:numPr>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 xml:space="preserve">Dentro de la vigencia de la garantía del fabricante y garantía técnica el proveedor deberá contar con un servicio de asistencia técnica y respuesta temprana, durante los horarios de atención de los Establecimientos de Salud. Esta asistencia deberá brindarse a través de línea telefónica dedicada exclusivamente a dar respuesta a los requerimientos que se realicen, como así también por correo electrónico u otro medio que dé inicio a la gestión de asistencia requerida. </w:t>
      </w:r>
    </w:p>
    <w:p>
      <w:pPr>
        <w:jc w:val="both"/>
        <w:rPr>
          <w:rFonts w:asciiTheme="minorHAnsi" w:hAnsiTheme="minorHAnsi" w:cstheme="minorHAnsi"/>
          <w:sz w:val="20"/>
          <w:szCs w:val="20"/>
          <w:lang w:val="es-EC" w:eastAsia="es-EC"/>
        </w:rPr>
      </w:pPr>
    </w:p>
    <w:p>
      <w:p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Dentro de esta asistencia técnica se deberá brindar:</w:t>
      </w:r>
    </w:p>
    <w:p>
      <w:pPr>
        <w:pStyle w:val="64"/>
        <w:numPr>
          <w:ilvl w:val="0"/>
          <w:numId w:val="115"/>
        </w:numPr>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Asesoría permanente durante el periodo de la garantía técnica dando respuesta inmediata a cualquier consulta remota que se realice en un plazo no superior a 48 horas de haber requerido el asesoramiento.</w:t>
      </w:r>
    </w:p>
    <w:p>
      <w:pPr>
        <w:pStyle w:val="64"/>
        <w:numPr>
          <w:ilvl w:val="0"/>
          <w:numId w:val="115"/>
        </w:numPr>
        <w:spacing w:after="0" w:line="240" w:lineRule="auto"/>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Reemplazo de piezas averiadas en un plazo máximo de 3 días posteriores a la notificación de la avería por parte de la Unidad de Salud, dentro del horario de atención del mismo.</w:t>
      </w:r>
      <w:bookmarkStart w:id="342" w:name="_Toc484417199"/>
    </w:p>
    <w:p>
      <w:pPr>
        <w:pStyle w:val="64"/>
        <w:spacing w:after="0" w:line="240" w:lineRule="auto"/>
        <w:jc w:val="both"/>
        <w:rPr>
          <w:rFonts w:asciiTheme="minorHAnsi" w:hAnsiTheme="minorHAnsi" w:cstheme="minorHAnsi"/>
          <w:sz w:val="20"/>
          <w:szCs w:val="20"/>
          <w:lang w:val="es-EC" w:eastAsia="es-EC"/>
        </w:rPr>
      </w:pPr>
    </w:p>
    <w:p>
      <w:pPr>
        <w:pStyle w:val="64"/>
        <w:spacing w:after="0" w:line="240" w:lineRule="auto"/>
        <w:jc w:val="both"/>
        <w:rPr>
          <w:rFonts w:asciiTheme="minorHAnsi" w:hAnsiTheme="minorHAnsi" w:cstheme="minorHAnsi"/>
          <w:b/>
          <w:sz w:val="20"/>
          <w:szCs w:val="20"/>
          <w:lang w:val="es-EC" w:eastAsia="es-EC"/>
        </w:rPr>
      </w:pPr>
      <w:r>
        <w:rPr>
          <w:rFonts w:asciiTheme="minorHAnsi" w:hAnsiTheme="minorHAnsi" w:cstheme="minorHAnsi"/>
          <w:b/>
          <w:sz w:val="20"/>
          <w:szCs w:val="20"/>
          <w:lang w:val="es-EC" w:eastAsia="es-EC"/>
        </w:rPr>
        <w:t>MANUALES DE USUARIO Y SERVICIO TÉCNICO</w:t>
      </w:r>
      <w:bookmarkEnd w:id="342"/>
      <w:r>
        <w:rPr>
          <w:rFonts w:asciiTheme="minorHAnsi" w:hAnsiTheme="minorHAnsi" w:cstheme="minorHAnsi"/>
          <w:b/>
          <w:sz w:val="20"/>
          <w:szCs w:val="20"/>
          <w:lang w:val="es-EC" w:eastAsia="es-EC"/>
        </w:rPr>
        <w:t xml:space="preserve"> </w:t>
      </w:r>
    </w:p>
    <w:p>
      <w:pPr>
        <w:jc w:val="both"/>
        <w:rPr>
          <w:rFonts w:asciiTheme="minorHAnsi" w:hAnsiTheme="minorHAnsi" w:cstheme="minorHAnsi"/>
          <w:b/>
          <w:color w:val="000000"/>
          <w:spacing w:val="-2"/>
          <w:sz w:val="20"/>
          <w:szCs w:val="20"/>
          <w:lang w:val="es-EC"/>
        </w:rPr>
      </w:pPr>
    </w:p>
    <w:p>
      <w:pPr>
        <w:jc w:val="both"/>
        <w:rPr>
          <w:rFonts w:asciiTheme="minorHAnsi" w:hAnsiTheme="minorHAnsi" w:cstheme="minorHAnsi"/>
          <w:color w:val="000000"/>
          <w:spacing w:val="-2"/>
          <w:sz w:val="20"/>
          <w:szCs w:val="20"/>
          <w:lang w:val="es-EC"/>
        </w:rPr>
      </w:pPr>
      <w:r>
        <w:rPr>
          <w:rFonts w:asciiTheme="minorHAnsi" w:hAnsiTheme="minorHAnsi" w:cstheme="minorHAnsi"/>
          <w:b/>
          <w:color w:val="000000"/>
          <w:spacing w:val="-2"/>
          <w:sz w:val="20"/>
          <w:szCs w:val="20"/>
          <w:lang w:val="es-EC"/>
        </w:rPr>
        <w:t>Los manuales de usuario y servicio técnico deberán ser entregados en el momento de la instalación y puesta en funcionamiento del equipo de acuerdo a lo siguiente</w:t>
      </w:r>
      <w:r>
        <w:rPr>
          <w:rFonts w:asciiTheme="minorHAnsi" w:hAnsiTheme="minorHAnsi" w:cstheme="minorHAnsi"/>
          <w:color w:val="000000"/>
          <w:spacing w:val="-2"/>
          <w:sz w:val="20"/>
          <w:szCs w:val="20"/>
          <w:lang w:val="es-EC"/>
        </w:rPr>
        <w:t>:</w:t>
      </w:r>
    </w:p>
    <w:p>
      <w:pPr>
        <w:pStyle w:val="64"/>
        <w:numPr>
          <w:ilvl w:val="0"/>
          <w:numId w:val="114"/>
        </w:numPr>
        <w:jc w:val="both"/>
        <w:rPr>
          <w:rFonts w:asciiTheme="minorHAnsi" w:hAnsiTheme="minorHAnsi" w:cstheme="minorHAnsi"/>
          <w:color w:val="000000"/>
          <w:spacing w:val="-2"/>
          <w:sz w:val="20"/>
          <w:szCs w:val="20"/>
          <w:lang w:val="es-EC"/>
        </w:rPr>
      </w:pPr>
      <w:r>
        <w:rPr>
          <w:rFonts w:asciiTheme="minorHAnsi" w:hAnsiTheme="minorHAnsi" w:cstheme="minorHAnsi"/>
          <w:color w:val="000000"/>
          <w:spacing w:val="-2"/>
          <w:sz w:val="20"/>
          <w:szCs w:val="20"/>
          <w:lang w:val="es-EC"/>
        </w:rPr>
        <w:t>Un manual de usuario en físico y un manual de usuario en digital, de preferencia en idioma español por cada uno de los equipos, el cual será entregado al Jefe de área o servicio, de cada Establecimiento de Salud.</w:t>
      </w:r>
    </w:p>
    <w:p>
      <w:pPr>
        <w:pStyle w:val="64"/>
        <w:numPr>
          <w:ilvl w:val="0"/>
          <w:numId w:val="114"/>
        </w:numPr>
        <w:jc w:val="both"/>
        <w:rPr>
          <w:rFonts w:asciiTheme="minorHAnsi" w:hAnsiTheme="minorHAnsi" w:cstheme="minorHAnsi"/>
          <w:color w:val="000000"/>
          <w:spacing w:val="-2"/>
          <w:sz w:val="20"/>
          <w:szCs w:val="20"/>
          <w:lang w:val="es-EC"/>
        </w:rPr>
      </w:pPr>
      <w:r>
        <w:rPr>
          <w:rFonts w:asciiTheme="minorHAnsi" w:hAnsiTheme="minorHAnsi" w:cstheme="minorHAnsi"/>
          <w:color w:val="000000"/>
          <w:spacing w:val="-2"/>
          <w:sz w:val="20"/>
          <w:szCs w:val="20"/>
          <w:lang w:val="es-EC"/>
        </w:rPr>
        <w:t>Tres manuales de servicio técnico por cada Establecimiento de Salud, distribuidos de la siguiente manera: dos para el departamento de mantenimiento y uno para el área de activos fijos.</w:t>
      </w:r>
    </w:p>
    <w:p>
      <w:pPr>
        <w:pStyle w:val="64"/>
        <w:numPr>
          <w:ilvl w:val="0"/>
          <w:numId w:val="114"/>
        </w:numPr>
        <w:jc w:val="both"/>
        <w:rPr>
          <w:rFonts w:asciiTheme="minorHAnsi" w:hAnsiTheme="minorHAnsi" w:cstheme="minorHAnsi"/>
          <w:color w:val="000000"/>
          <w:spacing w:val="-2"/>
          <w:sz w:val="20"/>
          <w:szCs w:val="20"/>
          <w:lang w:val="es-EC"/>
        </w:rPr>
      </w:pPr>
      <w:r>
        <w:rPr>
          <w:rFonts w:asciiTheme="minorHAnsi" w:hAnsiTheme="minorHAnsi" w:cstheme="minorHAnsi"/>
          <w:color w:val="000000"/>
          <w:spacing w:val="-2"/>
          <w:sz w:val="20"/>
          <w:szCs w:val="20"/>
          <w:lang w:val="es-EC"/>
        </w:rPr>
        <w:t xml:space="preserve">Adicionalmente se debe entrega un archivo en digital del manual de usuario y servicio técnico a la Dirección Nacional de Equipamiento Sanitario. </w:t>
      </w:r>
    </w:p>
    <w:p>
      <w:pPr>
        <w:jc w:val="both"/>
        <w:rPr>
          <w:rFonts w:asciiTheme="minorHAnsi" w:hAnsiTheme="minorHAnsi" w:cstheme="minorHAnsi"/>
          <w:color w:val="000000"/>
          <w:spacing w:val="-2"/>
          <w:sz w:val="20"/>
          <w:szCs w:val="20"/>
          <w:lang w:val="es-EC"/>
        </w:rPr>
      </w:pPr>
      <w:r>
        <w:rPr>
          <w:rFonts w:asciiTheme="minorHAnsi" w:hAnsiTheme="minorHAnsi" w:cstheme="minorHAnsi"/>
          <w:color w:val="000000"/>
          <w:spacing w:val="-2"/>
          <w:sz w:val="20"/>
          <w:szCs w:val="20"/>
          <w:lang w:val="es-EC"/>
        </w:rPr>
        <w:t>NOTA: Los manuales no deberán ser íntegramente legibles.</w:t>
      </w:r>
    </w:p>
    <w:p>
      <w:pPr>
        <w:spacing w:before="100" w:beforeAutospacing="1" w:after="100" w:afterAutospacing="1" w:line="240" w:lineRule="auto"/>
        <w:jc w:val="both"/>
        <w:rPr>
          <w:rFonts w:eastAsia="Times New Roman" w:asciiTheme="minorHAnsi" w:hAnsiTheme="minorHAnsi" w:cstheme="minorHAnsi"/>
          <w:b/>
          <w:sz w:val="20"/>
          <w:szCs w:val="20"/>
          <w:lang w:val="es-EC" w:eastAsia="es-EC"/>
        </w:rPr>
      </w:pPr>
      <w:r>
        <w:rPr>
          <w:rFonts w:eastAsia="Times New Roman" w:asciiTheme="minorHAnsi" w:hAnsiTheme="minorHAnsi" w:cstheme="minorHAnsi"/>
          <w:b/>
          <w:color w:val="000000"/>
          <w:sz w:val="20"/>
          <w:szCs w:val="20"/>
          <w:u w:val="single"/>
          <w:lang w:val="es-EC" w:eastAsia="es-EC"/>
        </w:rPr>
        <w:t xml:space="preserve">Capacitación Técnica en la instalación  </w:t>
      </w:r>
    </w:p>
    <w:p>
      <w:pPr>
        <w:spacing w:after="0" w:line="240" w:lineRule="auto"/>
        <w:jc w:val="both"/>
        <w:rPr>
          <w:rFonts w:eastAsia="Times New Roman" w:asciiTheme="minorHAnsi" w:hAnsiTheme="minorHAnsi" w:cstheme="minorHAnsi"/>
          <w:bCs/>
          <w:iCs/>
          <w:color w:val="000000"/>
          <w:spacing w:val="-2"/>
          <w:sz w:val="20"/>
          <w:szCs w:val="20"/>
          <w:lang w:val="es-EC" w:eastAsia="es-EC"/>
        </w:rPr>
      </w:pPr>
      <w:r>
        <w:rPr>
          <w:rFonts w:eastAsia="Times New Roman" w:asciiTheme="minorHAnsi" w:hAnsiTheme="minorHAnsi" w:cstheme="minorHAnsi"/>
          <w:bCs/>
          <w:iCs/>
          <w:color w:val="000000"/>
          <w:spacing w:val="-2"/>
          <w:sz w:val="20"/>
          <w:szCs w:val="20"/>
          <w:lang w:val="es-EC" w:eastAsia="es-EC"/>
        </w:rPr>
        <w:t xml:space="preserve">El plan de capacitación presentado por el oferente debe considerar dos grupos: </w:t>
      </w:r>
    </w:p>
    <w:p>
      <w:pPr>
        <w:spacing w:after="0" w:line="240" w:lineRule="auto"/>
        <w:jc w:val="both"/>
        <w:rPr>
          <w:rFonts w:eastAsia="Times New Roman" w:asciiTheme="minorHAnsi" w:hAnsiTheme="minorHAnsi" w:cstheme="minorHAnsi"/>
          <w:bCs/>
          <w:iCs/>
          <w:color w:val="000000"/>
          <w:spacing w:val="-2"/>
          <w:sz w:val="20"/>
          <w:szCs w:val="20"/>
          <w:lang w:val="es-EC" w:eastAsia="es-EC"/>
        </w:rPr>
      </w:pPr>
    </w:p>
    <w:p>
      <w:pPr>
        <w:pStyle w:val="64"/>
        <w:widowControl w:val="0"/>
        <w:numPr>
          <w:ilvl w:val="0"/>
          <w:numId w:val="116"/>
        </w:numPr>
        <w:spacing w:after="0" w:line="240" w:lineRule="auto"/>
        <w:jc w:val="both"/>
        <w:rPr>
          <w:rFonts w:eastAsia="Times New Roman" w:asciiTheme="minorHAnsi" w:hAnsiTheme="minorHAnsi" w:cstheme="minorHAnsi"/>
          <w:bCs/>
          <w:iCs/>
          <w:color w:val="000000"/>
          <w:spacing w:val="-2"/>
          <w:sz w:val="20"/>
          <w:szCs w:val="20"/>
          <w:lang w:val="es-EC" w:eastAsia="es-EC"/>
        </w:rPr>
      </w:pPr>
      <w:r>
        <w:rPr>
          <w:rFonts w:eastAsia="Times New Roman" w:asciiTheme="minorHAnsi" w:hAnsiTheme="minorHAnsi" w:cstheme="minorHAnsi"/>
          <w:bCs/>
          <w:iCs/>
          <w:color w:val="000000"/>
          <w:spacing w:val="-2"/>
          <w:sz w:val="20"/>
          <w:szCs w:val="20"/>
          <w:lang w:val="es-EC" w:eastAsia="es-EC"/>
        </w:rPr>
        <w:t xml:space="preserve">dirigido al personal técnico de mantenimiento (opcional para el personal de la Dirección Nacional de Equipamiento Sanitario y Proyecto BID del MSP); y, </w:t>
      </w:r>
    </w:p>
    <w:p>
      <w:pPr>
        <w:pStyle w:val="64"/>
        <w:widowControl w:val="0"/>
        <w:numPr>
          <w:ilvl w:val="0"/>
          <w:numId w:val="116"/>
        </w:numPr>
        <w:spacing w:after="0" w:line="240" w:lineRule="auto"/>
        <w:jc w:val="both"/>
        <w:rPr>
          <w:rFonts w:eastAsia="Times New Roman" w:asciiTheme="minorHAnsi" w:hAnsiTheme="minorHAnsi" w:cstheme="minorHAnsi"/>
          <w:sz w:val="20"/>
          <w:szCs w:val="20"/>
          <w:lang w:val="es-EC" w:eastAsia="es-EC"/>
        </w:rPr>
      </w:pPr>
      <w:r>
        <w:rPr>
          <w:rFonts w:eastAsia="Times New Roman" w:asciiTheme="minorHAnsi" w:hAnsiTheme="minorHAnsi" w:cstheme="minorHAnsi"/>
          <w:bCs/>
          <w:iCs/>
          <w:color w:val="000000"/>
          <w:spacing w:val="-2"/>
          <w:sz w:val="20"/>
          <w:szCs w:val="20"/>
          <w:lang w:val="es-EC" w:eastAsia="es-EC"/>
        </w:rPr>
        <w:t xml:space="preserve">dirigido al menos a dos profesionales de la salud que operan el equipo hospitalario. </w:t>
      </w:r>
    </w:p>
    <w:p>
      <w:pPr>
        <w:spacing w:after="0" w:line="240" w:lineRule="auto"/>
        <w:jc w:val="both"/>
        <w:rPr>
          <w:rFonts w:eastAsia="Symbol" w:asciiTheme="minorHAnsi" w:hAnsiTheme="minorHAnsi" w:cstheme="minorHAnsi"/>
          <w:bCs/>
          <w:iCs/>
          <w:color w:val="000000"/>
          <w:spacing w:val="-2"/>
          <w:sz w:val="20"/>
          <w:szCs w:val="20"/>
          <w:lang w:val="es-EC" w:eastAsia="es-EC"/>
        </w:rPr>
      </w:pPr>
    </w:p>
    <w:p>
      <w:pPr>
        <w:pStyle w:val="64"/>
        <w:numPr>
          <w:ilvl w:val="0"/>
          <w:numId w:val="117"/>
        </w:numPr>
        <w:spacing w:after="0" w:line="240" w:lineRule="auto"/>
        <w:ind w:left="0" w:firstLine="0"/>
        <w:jc w:val="both"/>
        <w:rPr>
          <w:rFonts w:eastAsia="Times New Roman" w:asciiTheme="minorHAnsi" w:hAnsiTheme="minorHAnsi" w:cstheme="minorHAnsi"/>
          <w:sz w:val="20"/>
          <w:szCs w:val="20"/>
          <w:lang w:val="es-EC" w:eastAsia="es-EC"/>
        </w:rPr>
      </w:pPr>
      <w:r>
        <w:rPr>
          <w:rFonts w:eastAsia="Times New Roman" w:asciiTheme="minorHAnsi" w:hAnsiTheme="minorHAnsi" w:cstheme="minorHAnsi"/>
          <w:bCs/>
          <w:iCs/>
          <w:color w:val="000000"/>
          <w:spacing w:val="-2"/>
          <w:sz w:val="20"/>
          <w:szCs w:val="20"/>
          <w:lang w:val="es-EC" w:eastAsia="es-EC"/>
        </w:rPr>
        <w:t xml:space="preserve">Para el personal del técnico de mantenimiento de los Establecimientos de Salud, se deben realizar al menos dos (2) capacitaciones: la primera, al finalizar el proceso de instalación y entrega del equipo, en un tiempo no mayor a cinco (5) días, la misma que debe asegurar que el personal esté completamente familiarizado con el equipo y sus capacidades y/o prestaciones; y, la segunda, quince (15) días después; la capacitación tratará acerca de las bases técnicas del equipo. </w:t>
      </w:r>
    </w:p>
    <w:p>
      <w:pPr>
        <w:pStyle w:val="64"/>
        <w:spacing w:after="0" w:line="240" w:lineRule="auto"/>
        <w:ind w:left="0"/>
        <w:jc w:val="both"/>
        <w:rPr>
          <w:rFonts w:eastAsia="Times New Roman" w:asciiTheme="minorHAnsi" w:hAnsiTheme="minorHAnsi" w:cstheme="minorHAnsi"/>
          <w:sz w:val="20"/>
          <w:szCs w:val="20"/>
          <w:lang w:val="es-EC" w:eastAsia="es-EC"/>
        </w:rPr>
      </w:pPr>
    </w:p>
    <w:p>
      <w:pPr>
        <w:pStyle w:val="64"/>
        <w:numPr>
          <w:ilvl w:val="0"/>
          <w:numId w:val="117"/>
        </w:numPr>
        <w:spacing w:after="0" w:line="240" w:lineRule="auto"/>
        <w:ind w:left="0" w:firstLine="0"/>
        <w:jc w:val="both"/>
        <w:rPr>
          <w:rFonts w:eastAsia="Times New Roman" w:asciiTheme="minorHAnsi" w:hAnsiTheme="minorHAnsi" w:cstheme="minorHAnsi"/>
          <w:sz w:val="20"/>
          <w:szCs w:val="20"/>
          <w:lang w:val="es-EC" w:eastAsia="es-EC"/>
        </w:rPr>
      </w:pPr>
      <w:r>
        <w:rPr>
          <w:rFonts w:eastAsia="Times New Roman" w:asciiTheme="minorHAnsi" w:hAnsiTheme="minorHAnsi" w:cstheme="minorHAnsi"/>
          <w:bCs/>
          <w:iCs/>
          <w:color w:val="000000"/>
          <w:spacing w:val="-2"/>
          <w:sz w:val="20"/>
          <w:szCs w:val="20"/>
          <w:lang w:val="es-EC" w:eastAsia="es-EC"/>
        </w:rPr>
        <w:t xml:space="preserve">Para los profesionales de la salud que operan el equipo hospitalario, se deben realizar al menos dos (2) capacitaciones: la primera, al finalizar la instalación y entrega del equipo, en un tiempo no mayor a cinco (5) días, la misma que debe asegurar que el personal este completamente familiarizado con el equipo y sus capacidades y/o prestaciones, la segunda se realizará a los quince (15) días como refuerzo a la inicial. </w:t>
      </w:r>
    </w:p>
    <w:p>
      <w:pPr>
        <w:pStyle w:val="64"/>
        <w:rPr>
          <w:rFonts w:eastAsia="Times New Roman" w:asciiTheme="minorHAnsi" w:hAnsiTheme="minorHAnsi" w:cstheme="minorHAnsi"/>
          <w:sz w:val="20"/>
          <w:szCs w:val="20"/>
          <w:lang w:val="es-EC" w:eastAsia="es-EC"/>
        </w:rPr>
      </w:pPr>
    </w:p>
    <w:p>
      <w:pPr>
        <w:pStyle w:val="64"/>
        <w:numPr>
          <w:ilvl w:val="0"/>
          <w:numId w:val="117"/>
        </w:numPr>
        <w:spacing w:after="0" w:line="240" w:lineRule="auto"/>
        <w:ind w:left="0" w:firstLine="0"/>
        <w:jc w:val="both"/>
        <w:rPr>
          <w:rFonts w:eastAsia="Times New Roman" w:asciiTheme="minorHAnsi" w:hAnsiTheme="minorHAnsi" w:cstheme="minorHAnsi"/>
          <w:sz w:val="20"/>
          <w:szCs w:val="20"/>
          <w:lang w:val="es-EC" w:eastAsia="es-EC"/>
        </w:rPr>
      </w:pPr>
      <w:r>
        <w:rPr>
          <w:rFonts w:eastAsia="Times New Roman" w:asciiTheme="minorHAnsi" w:hAnsiTheme="minorHAnsi" w:cstheme="minorHAnsi"/>
          <w:bCs/>
          <w:iCs/>
          <w:color w:val="000000"/>
          <w:spacing w:val="-2"/>
          <w:sz w:val="20"/>
          <w:szCs w:val="20"/>
          <w:lang w:val="es-EC" w:eastAsia="es-EC"/>
        </w:rPr>
        <w:t xml:space="preserve">El Plan de Capacitación de los equipos adquiridos será impartido por técnicos especialistas de la empresa oferente en las instalaciones de los establecimientos de salud donde fueron instalados los equipos. </w:t>
      </w:r>
    </w:p>
    <w:p>
      <w:pPr>
        <w:pStyle w:val="64"/>
        <w:numPr>
          <w:ilvl w:val="0"/>
          <w:numId w:val="117"/>
        </w:numPr>
        <w:spacing w:after="0" w:line="240" w:lineRule="auto"/>
        <w:ind w:left="0" w:firstLine="0"/>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 xml:space="preserve">Se deberá presentar al administrador del contrato, el itinerario de la capacitación en el momento de la instalación y puesta en funcionamiento de los equipos. </w:t>
      </w:r>
    </w:p>
    <w:p>
      <w:pPr>
        <w:pStyle w:val="64"/>
        <w:numPr>
          <w:ilvl w:val="0"/>
          <w:numId w:val="117"/>
        </w:numPr>
        <w:spacing w:after="0" w:line="240" w:lineRule="auto"/>
        <w:ind w:left="0" w:firstLine="0"/>
        <w:jc w:val="both"/>
        <w:rPr>
          <w:rFonts w:eastAsia="Times New Roman" w:asciiTheme="minorHAnsi" w:hAnsiTheme="minorHAnsi" w:cstheme="minorHAnsi"/>
          <w:sz w:val="20"/>
          <w:szCs w:val="20"/>
          <w:lang w:val="es-EC" w:eastAsia="es-EC"/>
        </w:rPr>
      </w:pPr>
      <w:r>
        <w:rPr>
          <w:rFonts w:eastAsia="Times New Roman" w:asciiTheme="minorHAnsi" w:hAnsiTheme="minorHAnsi" w:cstheme="minorHAnsi"/>
          <w:bCs/>
          <w:iCs/>
          <w:color w:val="000000"/>
          <w:spacing w:val="-2"/>
          <w:sz w:val="20"/>
          <w:szCs w:val="20"/>
          <w:lang w:val="es-EC" w:eastAsia="es-EC"/>
        </w:rPr>
        <w:t>El plan de capacitación presentado por el Oferente contendrá un programa pormenorizado del manejo del equipo que debe contener mínimo:</w:t>
      </w:r>
    </w:p>
    <w:p>
      <w:pPr>
        <w:widowControl w:val="0"/>
        <w:spacing w:after="0" w:line="240" w:lineRule="auto"/>
        <w:ind w:left="720"/>
        <w:jc w:val="both"/>
        <w:rPr>
          <w:rFonts w:eastAsia="Times New Roman" w:asciiTheme="minorHAnsi" w:hAnsiTheme="minorHAnsi" w:cstheme="minorHAnsi"/>
          <w:sz w:val="20"/>
          <w:szCs w:val="20"/>
          <w:lang w:val="es-EC" w:eastAsia="es-EC"/>
        </w:rPr>
      </w:pPr>
      <w:r>
        <w:rPr>
          <w:rFonts w:eastAsia="Times New Roman" w:asciiTheme="minorHAnsi" w:hAnsiTheme="minorHAnsi" w:cstheme="minorHAnsi"/>
          <w:bCs/>
          <w:iCs/>
          <w:color w:val="000000"/>
          <w:spacing w:val="-2"/>
          <w:sz w:val="20"/>
          <w:szCs w:val="20"/>
          <w:lang w:val="es-EC" w:eastAsia="es-EC"/>
        </w:rPr>
        <w:t> </w:t>
      </w:r>
    </w:p>
    <w:p>
      <w:pPr>
        <w:spacing w:after="0" w:line="240" w:lineRule="auto"/>
        <w:ind w:left="1068"/>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Presentación y descripción general de las especificaciones técnicas de cada equipo.</w:t>
      </w:r>
    </w:p>
    <w:p>
      <w:pPr>
        <w:spacing w:after="0" w:line="240" w:lineRule="auto"/>
        <w:ind w:left="1068"/>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Rutina de mantenimiento diario al equipo por parte del usuario.</w:t>
      </w:r>
    </w:p>
    <w:p>
      <w:pPr>
        <w:spacing w:after="0" w:line="240" w:lineRule="auto"/>
        <w:ind w:left="1068"/>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Procedimiento antes del encendido de los equipos.</w:t>
      </w:r>
    </w:p>
    <w:p>
      <w:pPr>
        <w:spacing w:after="0" w:line="240" w:lineRule="auto"/>
        <w:ind w:left="1068"/>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Funcionamiento de los equipos bajo condiciones de operación normales.</w:t>
      </w:r>
    </w:p>
    <w:p>
      <w:pPr>
        <w:spacing w:after="0" w:line="240" w:lineRule="auto"/>
        <w:ind w:left="1068"/>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Procedimiento en situaciones de emergencia. Solución de problemas.</w:t>
      </w:r>
    </w:p>
    <w:p>
      <w:pPr>
        <w:spacing w:after="0" w:line="240" w:lineRule="auto"/>
        <w:ind w:left="1068"/>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 xml:space="preserve">Instruir el manejo de software y configuraciones básicas para el funcionamiento del    </w:t>
      </w:r>
      <w:r>
        <w:rPr>
          <w:rFonts w:eastAsia="Times New Roman" w:asciiTheme="minorHAnsi" w:hAnsiTheme="minorHAnsi" w:cstheme="minorHAnsi"/>
          <w:bCs/>
          <w:iCs/>
          <w:color w:val="000000"/>
          <w:spacing w:val="-2"/>
          <w:sz w:val="20"/>
          <w:szCs w:val="20"/>
          <w:lang w:val="es-EC" w:eastAsia="es-EC"/>
        </w:rPr>
        <w:tab/>
      </w:r>
      <w:r>
        <w:rPr>
          <w:rFonts w:eastAsia="Times New Roman" w:asciiTheme="minorHAnsi" w:hAnsiTheme="minorHAnsi" w:cstheme="minorHAnsi"/>
          <w:bCs/>
          <w:iCs/>
          <w:color w:val="000000"/>
          <w:spacing w:val="-2"/>
          <w:sz w:val="20"/>
          <w:szCs w:val="20"/>
          <w:lang w:val="es-EC" w:eastAsia="es-EC"/>
        </w:rPr>
        <w:tab/>
      </w:r>
      <w:r>
        <w:rPr>
          <w:rFonts w:eastAsia="Times New Roman" w:asciiTheme="minorHAnsi" w:hAnsiTheme="minorHAnsi" w:cstheme="minorHAnsi"/>
          <w:bCs/>
          <w:iCs/>
          <w:color w:val="000000"/>
          <w:spacing w:val="-2"/>
          <w:sz w:val="20"/>
          <w:szCs w:val="20"/>
          <w:lang w:val="es-EC" w:eastAsia="es-EC"/>
        </w:rPr>
        <w:t xml:space="preserve">   equipo médico.</w:t>
      </w:r>
    </w:p>
    <w:p>
      <w:pPr>
        <w:spacing w:after="0" w:line="240" w:lineRule="auto"/>
        <w:ind w:left="1068"/>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Asesoramiento sobre medidas de mantenimiento preventivas.</w:t>
      </w:r>
    </w:p>
    <w:p>
      <w:pPr>
        <w:spacing w:after="0" w:line="240" w:lineRule="auto"/>
        <w:ind w:left="1068"/>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Ejercicios prácticos para mejora de la rutina diaria del manejo de los equipos.</w:t>
      </w:r>
    </w:p>
    <w:p>
      <w:pPr>
        <w:spacing w:after="0" w:line="240" w:lineRule="auto"/>
        <w:ind w:left="1068"/>
        <w:jc w:val="both"/>
        <w:rPr>
          <w:rFonts w:eastAsia="Times New Roman" w:asciiTheme="minorHAnsi" w:hAnsiTheme="minorHAnsi" w:cstheme="minorHAnsi"/>
          <w:sz w:val="20"/>
          <w:szCs w:val="20"/>
          <w:lang w:val="es-EC" w:eastAsia="es-EC"/>
        </w:rPr>
      </w:pPr>
      <w:r>
        <w:rPr>
          <w:rFonts w:eastAsia="Symbol" w:asciiTheme="minorHAnsi" w:hAnsiTheme="minorHAnsi" w:cstheme="minorHAnsi"/>
          <w:bCs/>
          <w:iCs/>
          <w:color w:val="000000"/>
          <w:spacing w:val="-2"/>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Medidas de seguridad estrictas y necesarias para el manejo de los equipos.</w:t>
      </w:r>
    </w:p>
    <w:p>
      <w:pPr>
        <w:spacing w:after="0" w:line="240" w:lineRule="auto"/>
        <w:ind w:left="1068"/>
        <w:jc w:val="both"/>
        <w:rPr>
          <w:rFonts w:eastAsia="Times New Roman" w:asciiTheme="minorHAnsi" w:hAnsiTheme="minorHAnsi" w:cstheme="minorHAnsi"/>
          <w:bCs/>
          <w:iCs/>
          <w:color w:val="000000"/>
          <w:spacing w:val="-2"/>
          <w:sz w:val="20"/>
          <w:szCs w:val="20"/>
          <w:lang w:val="es-EC" w:eastAsia="es-EC"/>
        </w:rPr>
      </w:pPr>
      <w:r>
        <w:rPr>
          <w:rFonts w:eastAsia="Symbol" w:asciiTheme="minorHAnsi" w:hAnsiTheme="minorHAnsi" w:cstheme="minorHAnsi"/>
          <w:bCs/>
          <w:iCs/>
          <w:color w:val="000000"/>
          <w:sz w:val="20"/>
          <w:szCs w:val="20"/>
          <w:lang w:val="es-EC" w:eastAsia="es-EC"/>
        </w:rPr>
        <w:t xml:space="preserve">·         </w:t>
      </w:r>
      <w:r>
        <w:rPr>
          <w:rFonts w:eastAsia="Times New Roman" w:asciiTheme="minorHAnsi" w:hAnsiTheme="minorHAnsi" w:cstheme="minorHAnsi"/>
          <w:bCs/>
          <w:iCs/>
          <w:color w:val="000000"/>
          <w:spacing w:val="-2"/>
          <w:sz w:val="20"/>
          <w:szCs w:val="20"/>
          <w:lang w:val="es-EC" w:eastAsia="es-EC"/>
        </w:rPr>
        <w:t>Recomendaciones para asegurar una operación económica y eficiente de los equipos.</w:t>
      </w:r>
    </w:p>
    <w:p>
      <w:pPr>
        <w:spacing w:after="0" w:line="240" w:lineRule="auto"/>
        <w:jc w:val="both"/>
        <w:rPr>
          <w:rFonts w:eastAsia="Times New Roman" w:asciiTheme="minorHAnsi" w:hAnsiTheme="minorHAnsi" w:cstheme="minorHAnsi"/>
          <w:bCs/>
          <w:iCs/>
          <w:color w:val="000000"/>
          <w:spacing w:val="-2"/>
          <w:sz w:val="20"/>
          <w:szCs w:val="20"/>
          <w:lang w:val="es-EC" w:eastAsia="es-EC"/>
        </w:rPr>
      </w:pPr>
    </w:p>
    <w:p>
      <w:pPr>
        <w:autoSpaceDE w:val="0"/>
        <w:autoSpaceDN w:val="0"/>
        <w:adjustRightInd w:val="0"/>
        <w:spacing w:after="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Es necesario que, después de cada capacitación, el oferente entregué los respectivos CERTIFICADOS, donde indique el número de horas de instrucción.</w:t>
      </w:r>
    </w:p>
    <w:p>
      <w:pPr>
        <w:spacing w:after="0" w:line="240" w:lineRule="auto"/>
        <w:jc w:val="both"/>
        <w:rPr>
          <w:rFonts w:eastAsia="Times New Roman" w:asciiTheme="minorHAnsi" w:hAnsiTheme="minorHAnsi" w:cstheme="minorHAnsi"/>
          <w:sz w:val="20"/>
          <w:szCs w:val="20"/>
          <w:lang w:val="es-EC" w:eastAsia="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bookmarkStart w:id="343" w:name="_Toc106182904"/>
      <w:bookmarkStart w:id="344" w:name="_Toc317173271"/>
      <w:bookmarkStart w:id="345" w:name="_Toc478103487"/>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p>
    <w:p>
      <w:pPr>
        <w:keepNext/>
        <w:keepLines/>
        <w:spacing w:before="240" w:after="0" w:line="240" w:lineRule="auto"/>
        <w:jc w:val="center"/>
        <w:outlineLvl w:val="1"/>
        <w:rPr>
          <w:rFonts w:eastAsia="Times New Roman" w:asciiTheme="minorHAnsi" w:hAnsiTheme="minorHAnsi" w:cstheme="minorHAnsi"/>
          <w:b/>
          <w:bCs/>
          <w:sz w:val="20"/>
          <w:szCs w:val="20"/>
          <w:lang w:val="es-EC"/>
        </w:rPr>
      </w:pPr>
      <w:r>
        <w:rPr>
          <w:rFonts w:eastAsia="Times New Roman" w:asciiTheme="minorHAnsi" w:hAnsiTheme="minorHAnsi" w:cstheme="minorHAnsi"/>
          <w:b/>
          <w:bCs/>
          <w:sz w:val="20"/>
          <w:szCs w:val="20"/>
          <w:lang w:val="es-EC"/>
        </w:rPr>
        <w:t>Planos o Diseños</w:t>
      </w:r>
      <w:bookmarkEnd w:id="343"/>
      <w:bookmarkEnd w:id="344"/>
      <w:bookmarkEnd w:id="345"/>
    </w:p>
    <w:p>
      <w:pPr>
        <w:spacing w:line="240" w:lineRule="auto"/>
        <w:rPr>
          <w:rFonts w:eastAsia="Times New Roman" w:asciiTheme="minorHAnsi" w:hAnsiTheme="minorHAnsi" w:cstheme="minorHAnsi"/>
          <w:i/>
          <w:iCs/>
          <w:sz w:val="20"/>
          <w:szCs w:val="20"/>
          <w:lang w:val="es-EC"/>
        </w:rPr>
      </w:pPr>
    </w:p>
    <w:p>
      <w:pPr>
        <w:suppressAutoHyphens/>
        <w:ind w:right="-72"/>
        <w:jc w:val="both"/>
        <w:rPr>
          <w:rFonts w:eastAsia="Times New Roman" w:asciiTheme="minorHAnsi" w:hAnsiTheme="minorHAnsi" w:cstheme="minorHAnsi"/>
          <w:b/>
          <w:i/>
          <w:iCs/>
          <w:sz w:val="20"/>
          <w:szCs w:val="20"/>
          <w:lang w:val="es-EC"/>
        </w:rPr>
      </w:pPr>
      <w:r>
        <w:rPr>
          <w:rFonts w:asciiTheme="minorHAnsi" w:hAnsiTheme="minorHAnsi" w:cstheme="minorHAnsi"/>
          <w:sz w:val="20"/>
          <w:szCs w:val="20"/>
          <w:lang w:val="es-EC"/>
        </w:rPr>
        <w:t>Los diseños referenciales se encuentran en las fichas técnicas, cuyo propósito es lograr una estandarización, por lo tanto son netamente referenciales para el propósito de esta licitación.</w:t>
      </w:r>
    </w:p>
    <w:p>
      <w:pPr>
        <w:spacing w:line="240" w:lineRule="auto"/>
        <w:jc w:val="center"/>
        <w:rPr>
          <w:rFonts w:eastAsia="Times New Roman" w:asciiTheme="minorHAnsi" w:hAnsiTheme="minorHAnsi" w:cstheme="minorHAnsi"/>
          <w:b/>
          <w:bCs/>
          <w:sz w:val="20"/>
          <w:szCs w:val="20"/>
          <w:lang w:val="es-EC"/>
        </w:rPr>
      </w:pPr>
      <w:r>
        <w:rPr>
          <w:rFonts w:asciiTheme="minorHAnsi" w:hAnsiTheme="minorHAnsi" w:cstheme="minorHAnsi"/>
          <w:sz w:val="20"/>
          <w:szCs w:val="20"/>
          <w:lang w:val="es-EC"/>
        </w:rPr>
        <w:br w:type="page"/>
      </w:r>
      <w:bookmarkStart w:id="346" w:name="_Toc106182905"/>
      <w:bookmarkStart w:id="347" w:name="_Toc317173272"/>
      <w:bookmarkStart w:id="348" w:name="_Toc478103488"/>
      <w:r>
        <w:rPr>
          <w:rFonts w:eastAsia="Times New Roman" w:asciiTheme="minorHAnsi" w:hAnsiTheme="minorHAnsi" w:cstheme="minorHAnsi"/>
          <w:b/>
          <w:bCs/>
          <w:sz w:val="20"/>
          <w:szCs w:val="20"/>
          <w:lang w:val="es-EC"/>
        </w:rPr>
        <w:t>Inspecciones y Pruebas</w:t>
      </w:r>
      <w:bookmarkEnd w:id="346"/>
      <w:bookmarkEnd w:id="347"/>
      <w:bookmarkEnd w:id="348"/>
    </w:p>
    <w:p>
      <w:pPr>
        <w:spacing w:before="60" w:after="60" w:line="240" w:lineRule="auto"/>
        <w:rPr>
          <w:rFonts w:eastAsia="Times New Roman" w:asciiTheme="minorHAnsi" w:hAnsiTheme="minorHAnsi" w:cstheme="minorHAnsi"/>
          <w:sz w:val="20"/>
          <w:szCs w:val="20"/>
          <w:lang w:val="es-EC"/>
        </w:rPr>
      </w:pPr>
    </w:p>
    <w:p>
      <w:pPr>
        <w:spacing w:before="60" w:after="6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El Comprador asignará el personal técnico para la inspección de los bienes (el Administrador del Contrato)  para que, verifique que ellos se hallen conformes a las cantidades y características técnicas exigidas en el Documento de Licitación y descritas en la oferta, libres de todo daño o defecto. Aquellos bienes que no cumplan con las condiciones descritas previamente, serán rechazados y se informará al proveedor para su inmediato reemplazo. El reemplazo en ningún caso podrá superar los 30 (treinta) días calendarios computados a partir de la fecha de notificación de la solicitud de reemplazo. Las inspecciones y pruebas se realizarán en cada uno de los Establecimientos de Salud.</w:t>
      </w:r>
    </w:p>
    <w:p>
      <w:pPr>
        <w:spacing w:before="60" w:after="6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El comprador se reserva la facultad de verificar la correcta instalación, operatividad  y puesta en funcionamiento  de todos los bienes en el sitio del Proyecto. A instancia del Administrador del contrato, el proveedor deberá proceder de inmediato a corregir cualquier defecto de armado en los bienes adquiridos, dentro del mismo plazo previsto para el remplazo.</w:t>
      </w:r>
    </w:p>
    <w:p>
      <w:pPr>
        <w:spacing w:before="60" w:after="60" w:line="240" w:lineRule="auto"/>
        <w:jc w:val="both"/>
        <w:rPr>
          <w:rFonts w:eastAsia="Times New Roman" w:asciiTheme="minorHAnsi" w:hAnsiTheme="minorHAnsi" w:cstheme="minorHAnsi"/>
          <w:sz w:val="20"/>
          <w:szCs w:val="20"/>
          <w:lang w:val="es-EC"/>
        </w:rPr>
      </w:pPr>
    </w:p>
    <w:p>
      <w:pPr>
        <w:spacing w:before="60" w:after="60" w:line="240" w:lineRule="auto"/>
        <w:jc w:val="both"/>
        <w:rPr>
          <w:rFonts w:eastAsia="Times New Roman" w:asciiTheme="minorHAnsi" w:hAnsiTheme="minorHAnsi" w:cstheme="minorHAnsi"/>
          <w:sz w:val="20"/>
          <w:szCs w:val="20"/>
          <w:lang w:val="es-EC"/>
        </w:rPr>
      </w:pPr>
      <w:r>
        <w:rPr>
          <w:rFonts w:eastAsia="Times New Roman" w:asciiTheme="minorHAnsi" w:hAnsiTheme="minorHAnsi" w:cstheme="minorHAnsi"/>
          <w:sz w:val="20"/>
          <w:szCs w:val="20"/>
          <w:lang w:val="es-EC"/>
        </w:rPr>
        <w:t xml:space="preserve">Revisión y verificación de documentación </w:t>
      </w:r>
    </w:p>
    <w:p>
      <w:pPr>
        <w:spacing w:before="60" w:after="60" w:line="240" w:lineRule="auto"/>
        <w:jc w:val="both"/>
        <w:rPr>
          <w:rFonts w:eastAsia="Times New Roman" w:asciiTheme="minorHAnsi" w:hAnsiTheme="minorHAnsi" w:cstheme="minorHAnsi"/>
          <w:sz w:val="20"/>
          <w:szCs w:val="20"/>
          <w:lang w:val="es-EC"/>
        </w:rPr>
      </w:pP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Toda las condiciones y/o requerimientos solicitados podrán ser revisadas en cualquier momento, antes, durante y después de la instalación de los equipos, para lo cual la entidad contratante solicitará los documentos y/o certificaciones que considere necesarios para verificar su legitimidad, reservándose el derecho de tomar cualquier acción legal en contra del Proveedor en caso adjudicado en caso de detectar incumplimiento, adulteración o falsificación en la información proporcionada.</w:t>
      </w:r>
    </w:p>
    <w:p>
      <w:pPr>
        <w:pStyle w:val="86"/>
        <w:jc w:val="both"/>
        <w:rPr>
          <w:rFonts w:asciiTheme="minorHAnsi" w:hAnsiTheme="minorHAnsi" w:cstheme="minorHAnsi"/>
          <w:b w:val="0"/>
          <w:sz w:val="20"/>
          <w:lang w:val="es-EC"/>
        </w:rPr>
      </w:pPr>
    </w:p>
    <w:p>
      <w:pPr>
        <w:pStyle w:val="86"/>
        <w:jc w:val="both"/>
        <w:rPr>
          <w:rFonts w:asciiTheme="minorHAnsi" w:hAnsiTheme="minorHAnsi" w:cstheme="minorHAnsi"/>
          <w:b w:val="0"/>
          <w:sz w:val="20"/>
          <w:lang w:val="es-EC"/>
        </w:rPr>
      </w:pPr>
      <w:r>
        <w:rPr>
          <w:rFonts w:asciiTheme="minorHAnsi" w:hAnsiTheme="minorHAnsi" w:cstheme="minorHAnsi"/>
          <w:b w:val="0"/>
          <w:sz w:val="20"/>
          <w:lang w:val="es-EC"/>
        </w:rPr>
        <w:br w:type="page"/>
      </w:r>
    </w:p>
    <w:p>
      <w:pPr>
        <w:pStyle w:val="2"/>
        <w:jc w:val="center"/>
        <w:rPr>
          <w:rFonts w:asciiTheme="minorHAnsi" w:hAnsiTheme="minorHAnsi" w:cstheme="minorHAnsi"/>
          <w:color w:val="auto"/>
          <w:sz w:val="20"/>
          <w:szCs w:val="20"/>
          <w:lang w:val="es-EC"/>
        </w:rPr>
      </w:pPr>
      <w:bookmarkStart w:id="349" w:name="_Toc478103489"/>
      <w:r>
        <w:rPr>
          <w:rFonts w:asciiTheme="minorHAnsi" w:hAnsiTheme="minorHAnsi" w:cstheme="minorHAnsi"/>
          <w:color w:val="auto"/>
          <w:sz w:val="20"/>
          <w:szCs w:val="20"/>
          <w:lang w:val="es-EC"/>
        </w:rPr>
        <w:t>PARTE III CONTRATO</w:t>
      </w:r>
      <w:bookmarkEnd w:id="349"/>
    </w:p>
    <w:p>
      <w:pPr>
        <w:pStyle w:val="3"/>
        <w:jc w:val="center"/>
        <w:rPr>
          <w:rFonts w:asciiTheme="minorHAnsi" w:hAnsiTheme="minorHAnsi" w:cstheme="minorHAnsi"/>
          <w:color w:val="auto"/>
          <w:sz w:val="20"/>
          <w:szCs w:val="20"/>
          <w:lang w:val="es-EC"/>
        </w:rPr>
      </w:pPr>
      <w:bookmarkStart w:id="350" w:name="_Toc478103490"/>
      <w:r>
        <w:rPr>
          <w:rFonts w:asciiTheme="minorHAnsi" w:hAnsiTheme="minorHAnsi" w:cstheme="minorHAnsi"/>
          <w:color w:val="auto"/>
          <w:sz w:val="20"/>
          <w:szCs w:val="20"/>
          <w:lang w:val="es-EC"/>
        </w:rPr>
        <w:t>SECCIÓN VIII. CONDICIONES GENERALES DEL CONTRATO</w:t>
      </w:r>
      <w:bookmarkEnd w:id="350"/>
    </w:p>
    <w:p>
      <w:pPr>
        <w:rPr>
          <w:rFonts w:asciiTheme="minorHAnsi" w:hAnsiTheme="minorHAnsi" w:cstheme="minorHAnsi"/>
          <w:sz w:val="20"/>
          <w:szCs w:val="20"/>
          <w:lang w:val="es-EC"/>
        </w:rPr>
      </w:pP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51" w:name="_Toc478103491"/>
      <w:r>
        <w:rPr>
          <w:rFonts w:eastAsia="Times New Roman" w:asciiTheme="minorHAnsi" w:hAnsiTheme="minorHAnsi" w:cstheme="minorHAnsi"/>
          <w:b/>
          <w:bCs/>
          <w:sz w:val="20"/>
          <w:szCs w:val="20"/>
          <w:lang w:val="es-EC"/>
        </w:rPr>
        <w:t>Definiciones</w:t>
      </w:r>
      <w:bookmarkEnd w:id="351"/>
    </w:p>
    <w:p>
      <w:pPr>
        <w:numPr>
          <w:ilvl w:val="0"/>
          <w:numId w:val="119"/>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Las siguientes palabras y expresiones tendrán los significados que aquí se les asigna</w:t>
      </w:r>
      <w:r>
        <w:rPr>
          <w:rFonts w:asciiTheme="minorHAnsi" w:hAnsiTheme="minorHAnsi" w:cstheme="minorHAnsi"/>
          <w:bCs/>
          <w:sz w:val="20"/>
          <w:szCs w:val="20"/>
          <w:lang w:val="es-EC"/>
        </w:rPr>
        <w:t>.</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“Banco” significa el Banco Interamericano de Desarrollo (BID) o cualquier fondo administrado por el Banco.</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“Contrato” significa el Convenio de Contrato celebrado entre el Comprador y el Proveedor, junto con los Documentos del Contrato allí referidos, incluyendo todos los anexos y apéndices, y todos los documentos incorporados allí por referencia.</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“Documentos del Contrato” significa los documentos enumerados en el Convenio de Contrato, incluyendo cualquier enmienda.</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“Precio del Contrato” significa el precio pagadero al Proveedor según se especifica en el Convenio de Contrato, sujeto a las condiciones y ajustes allí estipulados o deducciones propuestas, según corresponda en virtud del Contrato.</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“Día” significa día calendario.</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“Cumplimiento” significa que el Proveedor ha completado la prestación de los Servicios Conexos de acuerdo con los términos y condiciones establecidas en el Contrato. </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“CGC” significa las Condiciones Generales del Contrato.</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“Bienes” significa todos los productos, materia prima, maquinaria y equipo, y otros materiales que el Proveedor deba proporcionar al Comprador en virtud del Contrato.</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“El país del Comprador” es el país especificado en las Condiciones Especiales del Contrato (CEC).</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“Comprador” significa la entidad que compra los Bienes y Servicios Conexos, según se indica en las </w:t>
      </w:r>
      <w:r>
        <w:rPr>
          <w:rFonts w:asciiTheme="minorHAnsi" w:hAnsiTheme="minorHAnsi" w:cstheme="minorHAnsi"/>
          <w:b/>
          <w:sz w:val="20"/>
          <w:szCs w:val="20"/>
          <w:lang w:val="es-EC"/>
        </w:rPr>
        <w:t>CEC</w:t>
      </w:r>
      <w:r>
        <w:rPr>
          <w:rFonts w:asciiTheme="minorHAnsi" w:hAnsiTheme="minorHAnsi" w:cstheme="minorHAnsi"/>
          <w:sz w:val="20"/>
          <w:szCs w:val="20"/>
          <w:lang w:val="es-EC"/>
        </w:rPr>
        <w:t>.</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“Servicios Conexos” significan los servicios incidentales relativos a la provisión de los bienes, tales como seguro, instalación, capacitación y mantenimiento inicial y otras obligaciones similares del Proveedor en virtud del Contrato. </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“CEC” significa las Condiciones Especiales del Contrato.</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“Subcontratista” significa cualquier persona natural, entidad privada o pública, o cualquier combinación de ellas, con quienes el Proveedor ha subcontratado el suministro de cualquier porción de los Bienes o la ejecución de cualquier parte de los Servicios.</w:t>
      </w:r>
    </w:p>
    <w:p>
      <w:pPr>
        <w:numPr>
          <w:ilvl w:val="0"/>
          <w:numId w:val="120"/>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“Proveedor” significa la persona natural, jurídica o entidad gubernamental, o una combinación de éstas, cuya oferta para ejecutar el Contrato ha sido aceptada por el Comprador y es denominada como tal en el Convenio de Contrato. </w:t>
      </w:r>
    </w:p>
    <w:p>
      <w:pPr>
        <w:numPr>
          <w:ilvl w:val="0"/>
          <w:numId w:val="120"/>
        </w:numPr>
        <w:spacing w:before="60" w:after="60" w:line="240" w:lineRule="auto"/>
        <w:ind w:left="1620"/>
        <w:jc w:val="both"/>
        <w:rPr>
          <w:rFonts w:asciiTheme="minorHAnsi" w:hAnsiTheme="minorHAnsi" w:cstheme="minorHAnsi"/>
          <w:b/>
          <w:sz w:val="20"/>
          <w:szCs w:val="20"/>
          <w:lang w:val="es-EC"/>
        </w:rPr>
      </w:pPr>
      <w:r>
        <w:rPr>
          <w:rFonts w:asciiTheme="minorHAnsi" w:hAnsiTheme="minorHAnsi" w:cstheme="minorHAnsi"/>
          <w:sz w:val="20"/>
          <w:szCs w:val="20"/>
          <w:lang w:val="es-EC"/>
        </w:rPr>
        <w:t>“El Sitio del Proyecto”, donde corresponde, significa el lugar citado en las CEC.</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52" w:name="_Toc106182827"/>
      <w:bookmarkStart w:id="353" w:name="_Toc317173376"/>
      <w:bookmarkStart w:id="354" w:name="_Toc478103492"/>
      <w:r>
        <w:rPr>
          <w:rFonts w:asciiTheme="minorHAnsi" w:hAnsiTheme="minorHAnsi" w:cstheme="minorHAnsi"/>
          <w:b/>
          <w:sz w:val="20"/>
          <w:szCs w:val="20"/>
          <w:lang w:val="es-EC"/>
        </w:rPr>
        <w:t>Documentos del Contrato</w:t>
      </w:r>
      <w:bookmarkEnd w:id="352"/>
      <w:bookmarkEnd w:id="353"/>
      <w:bookmarkEnd w:id="354"/>
    </w:p>
    <w:p>
      <w:pPr>
        <w:numPr>
          <w:ilvl w:val="0"/>
          <w:numId w:val="121"/>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p>
    <w:p>
      <w:pPr>
        <w:keepNext/>
        <w:keepLines/>
        <w:numPr>
          <w:ilvl w:val="0"/>
          <w:numId w:val="118"/>
        </w:numPr>
        <w:spacing w:before="240" w:after="0" w:line="240" w:lineRule="auto"/>
        <w:ind w:left="540" w:hanging="540"/>
        <w:jc w:val="both"/>
        <w:outlineLvl w:val="1"/>
        <w:rPr>
          <w:rFonts w:asciiTheme="minorHAnsi" w:hAnsiTheme="minorHAnsi" w:cstheme="minorHAnsi"/>
          <w:sz w:val="20"/>
          <w:szCs w:val="20"/>
          <w:lang w:val="es-EC"/>
        </w:rPr>
      </w:pPr>
      <w:bookmarkStart w:id="355" w:name="_Toc478103493"/>
      <w:r>
        <w:rPr>
          <w:rFonts w:asciiTheme="minorHAnsi" w:hAnsiTheme="minorHAnsi" w:cstheme="minorHAnsi"/>
          <w:b/>
          <w:sz w:val="20"/>
          <w:szCs w:val="20"/>
          <w:lang w:val="es-EC"/>
        </w:rPr>
        <w:t>Fraude y Corrupción y Prácticas Prohibidas</w:t>
      </w:r>
      <w:bookmarkEnd w:id="355"/>
    </w:p>
    <w:p>
      <w:pPr>
        <w:numPr>
          <w:ilvl w:val="0"/>
          <w:numId w:val="12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Banco exige el cumplimiento de su política con respecto a fraude y corrupción y prácticas prohibidas que se indican en Anexo 2.</w:t>
      </w:r>
    </w:p>
    <w:p>
      <w:pPr>
        <w:keepNext/>
        <w:keepLines/>
        <w:numPr>
          <w:ilvl w:val="0"/>
          <w:numId w:val="118"/>
        </w:numPr>
        <w:spacing w:before="240" w:after="0" w:line="240" w:lineRule="auto"/>
        <w:ind w:left="540" w:hanging="540"/>
        <w:jc w:val="both"/>
        <w:outlineLvl w:val="1"/>
        <w:rPr>
          <w:rFonts w:asciiTheme="minorHAnsi" w:hAnsiTheme="minorHAnsi" w:cstheme="minorHAnsi"/>
          <w:b/>
          <w:sz w:val="20"/>
          <w:szCs w:val="20"/>
          <w:lang w:val="es-EC"/>
        </w:rPr>
      </w:pPr>
      <w:bookmarkStart w:id="356" w:name="_Toc478103494"/>
      <w:r>
        <w:rPr>
          <w:rFonts w:asciiTheme="minorHAnsi" w:hAnsiTheme="minorHAnsi" w:cstheme="minorHAnsi"/>
          <w:b/>
          <w:sz w:val="20"/>
          <w:szCs w:val="20"/>
          <w:lang w:val="es-EC"/>
        </w:rPr>
        <w:t>Interpretación</w:t>
      </w:r>
      <w:bookmarkEnd w:id="356"/>
    </w:p>
    <w:p>
      <w:pPr>
        <w:numPr>
          <w:ilvl w:val="0"/>
          <w:numId w:val="12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 el contexto así lo requiere, el singular significa el plural, y viceversa:</w:t>
      </w:r>
    </w:p>
    <w:p>
      <w:pPr>
        <w:numPr>
          <w:ilvl w:val="0"/>
          <w:numId w:val="12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Incoterms</w:t>
      </w:r>
    </w:p>
    <w:p>
      <w:pPr>
        <w:numPr>
          <w:ilvl w:val="0"/>
          <w:numId w:val="124"/>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significado de cualquier término comercial, así como los derechos y obligaciones de las partes serán los prescritos en los </w:t>
      </w:r>
      <w:r>
        <w:rPr>
          <w:rFonts w:asciiTheme="minorHAnsi" w:hAnsiTheme="minorHAnsi" w:cstheme="minorHAnsi"/>
          <w:i/>
          <w:sz w:val="20"/>
          <w:szCs w:val="20"/>
          <w:lang w:val="es-EC"/>
        </w:rPr>
        <w:t>Incoterms</w:t>
      </w:r>
      <w:r>
        <w:rPr>
          <w:rFonts w:asciiTheme="minorHAnsi" w:hAnsiTheme="minorHAnsi" w:cstheme="minorHAnsi"/>
          <w:sz w:val="20"/>
          <w:szCs w:val="20"/>
          <w:lang w:val="es-EC"/>
        </w:rPr>
        <w:t>, a menos que sea inconsistente con alguna disposición del Contrato.</w:t>
      </w:r>
    </w:p>
    <w:p>
      <w:pPr>
        <w:numPr>
          <w:ilvl w:val="0"/>
          <w:numId w:val="124"/>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términos CIP, FCA, CPT y otros similares, cuando se utilicen, se regirán por las normas establecidas en la edición vigente de los </w:t>
      </w:r>
      <w:r>
        <w:rPr>
          <w:rFonts w:asciiTheme="minorHAnsi" w:hAnsiTheme="minorHAnsi" w:cstheme="minorHAnsi"/>
          <w:i/>
          <w:sz w:val="20"/>
          <w:szCs w:val="20"/>
          <w:lang w:val="es-EC"/>
        </w:rPr>
        <w:t xml:space="preserve">Incoterms </w:t>
      </w:r>
      <w:r>
        <w:rPr>
          <w:rFonts w:asciiTheme="minorHAnsi" w:hAnsiTheme="minorHAnsi" w:cstheme="minorHAnsi"/>
          <w:sz w:val="20"/>
          <w:szCs w:val="20"/>
          <w:lang w:val="es-EC"/>
        </w:rPr>
        <w:t>especificada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 y publicada por la Cámara de Comercio Internacional en París, Francia.</w:t>
      </w:r>
    </w:p>
    <w:p>
      <w:pPr>
        <w:numPr>
          <w:ilvl w:val="0"/>
          <w:numId w:val="12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Totalidad del Contrato: El Contrato constituye la totalidad de lo acordado entre el Comprador y el Proveedor y substituye todas las comunicaciones, negociaciones y acuerdos (ya sea escritos o verbales) realizados entre las partes con anterioridad a la fecha de la celebración del Contrato.</w:t>
      </w:r>
    </w:p>
    <w:p>
      <w:pPr>
        <w:numPr>
          <w:ilvl w:val="0"/>
          <w:numId w:val="12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Enmienda: Ninguna enmienda u otra variación al Contrato será válida a menos que esté por escrito, fechada y se refiera expresamente al Contrato, y esté firmada por un representante de cada una de las partes debidamente autorizado.</w:t>
      </w:r>
    </w:p>
    <w:p>
      <w:pPr>
        <w:numPr>
          <w:ilvl w:val="0"/>
          <w:numId w:val="12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Limitación de Dispensas</w:t>
      </w:r>
    </w:p>
    <w:p>
      <w:pPr>
        <w:numPr>
          <w:ilvl w:val="0"/>
          <w:numId w:val="125"/>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pPr>
        <w:numPr>
          <w:ilvl w:val="0"/>
          <w:numId w:val="125"/>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pPr>
        <w:numPr>
          <w:ilvl w:val="0"/>
          <w:numId w:val="12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Divisibilidad: Si cualquier provisión o condición del Contrato es prohibida o resultase inválida o inejecutable, dicha prohibición, invalidez o falta de ejecución no afectará la validez o el cumplimiento de las otras provisiones o condiciones del Contrato.</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57" w:name="_Toc478103495"/>
      <w:r>
        <w:rPr>
          <w:rFonts w:asciiTheme="minorHAnsi" w:hAnsiTheme="minorHAnsi" w:cstheme="minorHAnsi"/>
          <w:b/>
          <w:sz w:val="20"/>
          <w:szCs w:val="20"/>
          <w:lang w:val="es-EC"/>
        </w:rPr>
        <w:t>Idioma</w:t>
      </w:r>
      <w:bookmarkEnd w:id="357"/>
    </w:p>
    <w:p>
      <w:pPr>
        <w:numPr>
          <w:ilvl w:val="0"/>
          <w:numId w:val="12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Contrato, así como toda la correspondencia y documentos relativos al Contrato intercambiados entre el Proveedor y el Comprador, deberán ser escritos en el idioma especificado en las </w:t>
      </w:r>
      <w:r>
        <w:rPr>
          <w:rFonts w:asciiTheme="minorHAnsi" w:hAnsiTheme="minorHAnsi" w:cstheme="minorHAnsi"/>
          <w:b/>
          <w:sz w:val="20"/>
          <w:szCs w:val="20"/>
          <w:lang w:val="es-EC"/>
        </w:rPr>
        <w:t>CEC</w:t>
      </w:r>
      <w:r>
        <w:rPr>
          <w:rFonts w:asciiTheme="minorHAnsi" w:hAnsiTheme="minorHAnsi" w:cstheme="minorHAnsi"/>
          <w:sz w:val="20"/>
          <w:szCs w:val="20"/>
          <w:lang w:val="es-EC"/>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pPr>
        <w:numPr>
          <w:ilvl w:val="0"/>
          <w:numId w:val="12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Proveedor será responsable de todos los costos de la traducción al idioma que rige, así como de todos los riesgos derivados de la exactitud de dicha traducción de los documentos proporcionados por el Proveedor.</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58" w:name="_Toc478103496"/>
      <w:r>
        <w:rPr>
          <w:rFonts w:asciiTheme="minorHAnsi" w:hAnsiTheme="minorHAnsi" w:cstheme="minorHAnsi"/>
          <w:b/>
          <w:sz w:val="20"/>
          <w:szCs w:val="20"/>
          <w:lang w:val="es-EC"/>
        </w:rPr>
        <w:t>Asociación en Participación o Consorcio</w:t>
      </w:r>
      <w:bookmarkEnd w:id="358"/>
    </w:p>
    <w:p>
      <w:pPr>
        <w:numPr>
          <w:ilvl w:val="0"/>
          <w:numId w:val="127"/>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59" w:name="_Toc478103497"/>
      <w:r>
        <w:rPr>
          <w:rFonts w:asciiTheme="minorHAnsi" w:hAnsiTheme="minorHAnsi" w:cstheme="minorHAnsi"/>
          <w:b/>
          <w:sz w:val="20"/>
          <w:szCs w:val="20"/>
          <w:lang w:val="es-EC"/>
        </w:rPr>
        <w:t>Elegibilidad</w:t>
      </w:r>
      <w:bookmarkEnd w:id="359"/>
    </w:p>
    <w:p>
      <w:pPr>
        <w:numPr>
          <w:ilvl w:val="0"/>
          <w:numId w:val="12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Proveedor y sus Subcontratistas deberán ser originarios de países miembros del Banco. Se considera que un Proveedor o Subcontratista tiene la nacionalidad de un país elegible si cumple con los siguientes requisitos:</w:t>
      </w:r>
    </w:p>
    <w:p>
      <w:pPr>
        <w:numPr>
          <w:ilvl w:val="0"/>
          <w:numId w:val="12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Un individuo </w:t>
      </w:r>
      <w:r>
        <w:rPr>
          <w:rFonts w:asciiTheme="minorHAnsi" w:hAnsiTheme="minorHAnsi" w:cstheme="minorHAnsi"/>
          <w:bCs/>
          <w:sz w:val="20"/>
          <w:szCs w:val="20"/>
          <w:lang w:val="es-EC"/>
        </w:rPr>
        <w:t>tiene la nacionalidad</w:t>
      </w:r>
      <w:r>
        <w:rPr>
          <w:rFonts w:asciiTheme="minorHAnsi" w:hAnsiTheme="minorHAnsi" w:cstheme="minorHAnsi"/>
          <w:sz w:val="20"/>
          <w:szCs w:val="20"/>
          <w:lang w:val="es-EC"/>
        </w:rPr>
        <w:t xml:space="preserve"> de un país miembro del Banco si satisface uno de los siguientes requisitos:</w:t>
      </w:r>
    </w:p>
    <w:p>
      <w:pPr>
        <w:pStyle w:val="73"/>
        <w:widowControl w:val="0"/>
        <w:numPr>
          <w:ilvl w:val="1"/>
          <w:numId w:val="130"/>
        </w:numPr>
        <w:tabs>
          <w:tab w:val="clear" w:pos="1440"/>
        </w:tabs>
        <w:spacing w:before="0" w:after="60"/>
        <w:ind w:left="1800"/>
        <w:rPr>
          <w:rFonts w:asciiTheme="minorHAnsi" w:hAnsiTheme="minorHAnsi" w:cstheme="minorHAnsi"/>
          <w:spacing w:val="0"/>
          <w:sz w:val="20"/>
          <w:lang w:val="es-EC"/>
        </w:rPr>
      </w:pPr>
      <w:r>
        <w:rPr>
          <w:rFonts w:asciiTheme="minorHAnsi" w:hAnsiTheme="minorHAnsi" w:cstheme="minorHAnsi"/>
          <w:sz w:val="20"/>
          <w:lang w:val="es-EC"/>
        </w:rPr>
        <w:t>es ciudadano de un país miembro; o</w:t>
      </w:r>
    </w:p>
    <w:p>
      <w:pPr>
        <w:pStyle w:val="73"/>
        <w:widowControl w:val="0"/>
        <w:numPr>
          <w:ilvl w:val="1"/>
          <w:numId w:val="130"/>
        </w:numPr>
        <w:tabs>
          <w:tab w:val="clear" w:pos="1440"/>
        </w:tabs>
        <w:spacing w:before="0" w:after="60"/>
        <w:ind w:left="1800"/>
        <w:rPr>
          <w:rFonts w:asciiTheme="minorHAnsi" w:hAnsiTheme="minorHAnsi" w:cstheme="minorHAnsi"/>
          <w:spacing w:val="0"/>
          <w:sz w:val="20"/>
          <w:lang w:val="es-EC"/>
        </w:rPr>
      </w:pPr>
      <w:r>
        <w:rPr>
          <w:rFonts w:asciiTheme="minorHAnsi" w:hAnsiTheme="minorHAnsi" w:cstheme="minorHAnsi"/>
          <w:sz w:val="20"/>
          <w:lang w:val="es-EC"/>
        </w:rPr>
        <w:t>ha establecido su domicilio en un país miembro como residente “bona fide” y está legalmente autorizado para trabajar en dicho país.</w:t>
      </w:r>
    </w:p>
    <w:p>
      <w:pPr>
        <w:numPr>
          <w:ilvl w:val="0"/>
          <w:numId w:val="129"/>
        </w:numPr>
        <w:spacing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Una firma tiene la nacionalidad de un país miembro si satisface los dos siguientes requisitos:</w:t>
      </w:r>
    </w:p>
    <w:p>
      <w:pPr>
        <w:pStyle w:val="73"/>
        <w:widowControl w:val="0"/>
        <w:numPr>
          <w:ilvl w:val="0"/>
          <w:numId w:val="131"/>
        </w:numPr>
        <w:tabs>
          <w:tab w:val="clear" w:pos="1440"/>
        </w:tabs>
        <w:spacing w:before="0" w:after="60"/>
        <w:ind w:left="1800"/>
        <w:rPr>
          <w:rFonts w:asciiTheme="minorHAnsi" w:hAnsiTheme="minorHAnsi" w:cstheme="minorHAnsi"/>
          <w:sz w:val="20"/>
          <w:lang w:val="es-EC"/>
        </w:rPr>
      </w:pPr>
      <w:r>
        <w:rPr>
          <w:rFonts w:asciiTheme="minorHAnsi" w:hAnsiTheme="minorHAnsi" w:cstheme="minorHAnsi"/>
          <w:sz w:val="20"/>
          <w:lang w:val="es-EC"/>
        </w:rPr>
        <w:t>esta legalmente constituida o incorporada conforme a las leyes de un país miembro del Banco; y</w:t>
      </w:r>
    </w:p>
    <w:p>
      <w:pPr>
        <w:pStyle w:val="73"/>
        <w:widowControl w:val="0"/>
        <w:numPr>
          <w:ilvl w:val="0"/>
          <w:numId w:val="131"/>
        </w:numPr>
        <w:tabs>
          <w:tab w:val="clear" w:pos="1440"/>
        </w:tabs>
        <w:spacing w:before="0" w:after="60"/>
        <w:ind w:left="1800"/>
        <w:rPr>
          <w:rFonts w:asciiTheme="minorHAnsi" w:hAnsiTheme="minorHAnsi" w:cstheme="minorHAnsi"/>
          <w:sz w:val="20"/>
          <w:lang w:val="es-EC"/>
        </w:rPr>
      </w:pPr>
      <w:r>
        <w:rPr>
          <w:rFonts w:asciiTheme="minorHAnsi" w:hAnsiTheme="minorHAnsi" w:cstheme="minorHAnsi"/>
          <w:sz w:val="20"/>
          <w:lang w:val="es-EC"/>
        </w:rPr>
        <w:t>más del cincuenta por ciento (50%) del capital de la firma es de propiedad de individuos o firmas de países miembros del Banco.</w:t>
      </w:r>
    </w:p>
    <w:p>
      <w:pPr>
        <w:numPr>
          <w:ilvl w:val="0"/>
          <w:numId w:val="12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Todos los socios de una asociación en participación, consorcio o asociación (APCA) con responsabilidad mancomunada y solidaria y todos los subcontratistas deben cumplir con los requisitos arriba establecidos.</w:t>
      </w:r>
    </w:p>
    <w:p>
      <w:pPr>
        <w:numPr>
          <w:ilvl w:val="0"/>
          <w:numId w:val="12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60" w:name="_Toc478103498"/>
      <w:r>
        <w:rPr>
          <w:rFonts w:asciiTheme="minorHAnsi" w:hAnsiTheme="minorHAnsi" w:cstheme="minorHAnsi"/>
          <w:b/>
          <w:sz w:val="20"/>
          <w:szCs w:val="20"/>
          <w:lang w:val="es-EC"/>
        </w:rPr>
        <w:t>Notificaciones</w:t>
      </w:r>
      <w:bookmarkEnd w:id="360"/>
    </w:p>
    <w:p>
      <w:pPr>
        <w:numPr>
          <w:ilvl w:val="0"/>
          <w:numId w:val="13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Todas las notificaciones entre las partes en virtud de este Contrato deberán ser por escrito y dirigidas a la dirección indicada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 El término “por escrito” significa comunicación en forma escrita con prueba de recibo.</w:t>
      </w:r>
    </w:p>
    <w:p>
      <w:pPr>
        <w:numPr>
          <w:ilvl w:val="0"/>
          <w:numId w:val="13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Una notificación será efectiva en la fecha más tardía entre la fecha de entrega y la fecha de la notificación.</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61" w:name="_Toc478103499"/>
      <w:r>
        <w:rPr>
          <w:rFonts w:asciiTheme="minorHAnsi" w:hAnsiTheme="minorHAnsi" w:cstheme="minorHAnsi"/>
          <w:b/>
          <w:sz w:val="20"/>
          <w:szCs w:val="20"/>
          <w:lang w:val="es-EC"/>
        </w:rPr>
        <w:t>Ley Aplicable</w:t>
      </w:r>
      <w:bookmarkEnd w:id="361"/>
    </w:p>
    <w:p>
      <w:pPr>
        <w:numPr>
          <w:ilvl w:val="0"/>
          <w:numId w:val="133"/>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El Contrato se regirá y se interpretará según las leyes del país del Comprador, a menos que se indique otra cosa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62" w:name="_Toc478103500"/>
      <w:r>
        <w:rPr>
          <w:rFonts w:asciiTheme="minorHAnsi" w:hAnsiTheme="minorHAnsi" w:cstheme="minorHAnsi"/>
          <w:b/>
          <w:sz w:val="20"/>
          <w:szCs w:val="20"/>
          <w:lang w:val="es-EC"/>
        </w:rPr>
        <w:t>Solución de Controversias</w:t>
      </w:r>
      <w:bookmarkEnd w:id="362"/>
    </w:p>
    <w:p>
      <w:pPr>
        <w:numPr>
          <w:ilvl w:val="0"/>
          <w:numId w:val="134"/>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El Comprador y el Proveedor harán todo lo posible para resolver amigablemente mediante negociaciones directas informales, cualquier desacuerdo o controversia que se haya suscitado entre ellos en virtud o en referencia al Contrato.</w:t>
      </w:r>
    </w:p>
    <w:p>
      <w:pPr>
        <w:numPr>
          <w:ilvl w:val="0"/>
          <w:numId w:val="134"/>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Pr>
          <w:rFonts w:asciiTheme="minorHAnsi" w:hAnsiTheme="minorHAnsi" w:cstheme="minorHAnsi"/>
          <w:b/>
          <w:sz w:val="20"/>
          <w:szCs w:val="20"/>
          <w:lang w:val="es-EC"/>
        </w:rPr>
        <w:t xml:space="preserve"> CEC. </w:t>
      </w:r>
    </w:p>
    <w:p>
      <w:pPr>
        <w:numPr>
          <w:ilvl w:val="0"/>
          <w:numId w:val="134"/>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No obstante las referencias a arbitraje en este documento,</w:t>
      </w:r>
    </w:p>
    <w:p>
      <w:pPr>
        <w:numPr>
          <w:ilvl w:val="0"/>
          <w:numId w:val="135"/>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ambas partes deben continuar cumpliendo con sus obligaciones respectivas en virtud del Contrato, a menos que las partes acuerden de otra manera; y</w:t>
      </w:r>
    </w:p>
    <w:p>
      <w:pPr>
        <w:numPr>
          <w:ilvl w:val="0"/>
          <w:numId w:val="135"/>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el Comprador pagará el dinero que le adeude al Proveedor.</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63" w:name="_Toc478103501"/>
      <w:r>
        <w:rPr>
          <w:rFonts w:asciiTheme="minorHAnsi" w:hAnsiTheme="minorHAnsi" w:cstheme="minorHAnsi"/>
          <w:b/>
          <w:sz w:val="20"/>
          <w:szCs w:val="20"/>
          <w:lang w:val="es-EC"/>
        </w:rPr>
        <w:t>Inspecciones y Auditorias</w:t>
      </w:r>
      <w:bookmarkEnd w:id="363"/>
    </w:p>
    <w:p>
      <w:pPr>
        <w:numPr>
          <w:ilvl w:val="0"/>
          <w:numId w:val="136"/>
        </w:numPr>
        <w:spacing w:before="60" w:after="60" w:line="240" w:lineRule="auto"/>
        <w:ind w:left="1260" w:hanging="720"/>
        <w:jc w:val="both"/>
        <w:rPr>
          <w:rFonts w:asciiTheme="minorHAnsi" w:hAnsiTheme="minorHAnsi" w:cstheme="minorHAnsi"/>
          <w:sz w:val="20"/>
          <w:szCs w:val="20"/>
          <w:lang w:val="es-EC"/>
        </w:rPr>
      </w:pPr>
      <w:bookmarkStart w:id="364" w:name="OLE_LINK1"/>
      <w:bookmarkStart w:id="365" w:name="OLE_LINK2"/>
      <w:r>
        <w:rPr>
          <w:rFonts w:asciiTheme="minorHAnsi" w:hAnsiTheme="minorHAnsi" w:cstheme="minorHAnsi"/>
          <w:sz w:val="20"/>
          <w:szCs w:val="20"/>
          <w:lang w:val="es-EC"/>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Pr>
          <w:rFonts w:asciiTheme="minorHAnsi" w:hAnsiTheme="minorHAnsi" w:cstheme="minorHAnsi"/>
          <w:bCs/>
          <w:sz w:val="20"/>
          <w:szCs w:val="20"/>
          <w:lang w:val="es-EC"/>
        </w:rPr>
        <w:t>derechos de inspección y auditoría consignados en ésta Subcláusula 11.1 constituye una práctica prohibida que podrá resultar en la terminación del contrato (al igual que en la declaración de inelegibilidad de acuerdo a los procedimientos vigentes del Banco).</w:t>
      </w:r>
      <w:bookmarkEnd w:id="364"/>
      <w:bookmarkEnd w:id="365"/>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66" w:name="_Toc478103502"/>
      <w:r>
        <w:rPr>
          <w:rFonts w:asciiTheme="minorHAnsi" w:hAnsiTheme="minorHAnsi" w:cstheme="minorHAnsi"/>
          <w:b/>
          <w:sz w:val="20"/>
          <w:szCs w:val="20"/>
          <w:lang w:val="es-EC"/>
        </w:rPr>
        <w:t>Alcance de los Suministros</w:t>
      </w:r>
      <w:bookmarkEnd w:id="366"/>
    </w:p>
    <w:p>
      <w:pPr>
        <w:numPr>
          <w:ilvl w:val="0"/>
          <w:numId w:val="137"/>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Los Bienes y Servicios Conexos serán suministrados según lo estipulado en la Lista de Requisitos.</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67" w:name="_Toc478103503"/>
      <w:r>
        <w:rPr>
          <w:rFonts w:asciiTheme="minorHAnsi" w:hAnsiTheme="minorHAnsi" w:cstheme="minorHAnsi"/>
          <w:b/>
          <w:sz w:val="20"/>
          <w:szCs w:val="20"/>
          <w:lang w:val="es-EC"/>
        </w:rPr>
        <w:t>Entrega y Documentos</w:t>
      </w:r>
      <w:bookmarkEnd w:id="367"/>
    </w:p>
    <w:p>
      <w:pPr>
        <w:numPr>
          <w:ilvl w:val="0"/>
          <w:numId w:val="138"/>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Sujeto a lo dispuesto en la Subcláusula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68" w:name="_Toc106188573"/>
      <w:bookmarkStart w:id="369" w:name="_Toc478103504"/>
      <w:r>
        <w:rPr>
          <w:rFonts w:asciiTheme="minorHAnsi" w:hAnsiTheme="minorHAnsi" w:cstheme="minorHAnsi"/>
          <w:b/>
          <w:sz w:val="20"/>
          <w:szCs w:val="20"/>
          <w:lang w:val="es-EC"/>
        </w:rPr>
        <w:t>Responsabilidades del Proveedor</w:t>
      </w:r>
      <w:bookmarkEnd w:id="368"/>
      <w:bookmarkEnd w:id="369"/>
    </w:p>
    <w:p>
      <w:pPr>
        <w:numPr>
          <w:ilvl w:val="0"/>
          <w:numId w:val="139"/>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El Proveedor deberá proporcionar todos los Bienes y Servicios Conexos incluidos en el Alcance de Suministros de conformidad con la Cláusula 12 de las CGC, el Plan de Entrega y Cronograma de Cumplimiento, de conformidad con la Cláusula 13 de las CGC.</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70" w:name="_Toc478103505"/>
      <w:r>
        <w:rPr>
          <w:rFonts w:asciiTheme="minorHAnsi" w:hAnsiTheme="minorHAnsi" w:cstheme="minorHAnsi"/>
          <w:b/>
          <w:sz w:val="20"/>
          <w:szCs w:val="20"/>
          <w:lang w:val="es-EC"/>
        </w:rPr>
        <w:t>Precio del Contrato</w:t>
      </w:r>
      <w:bookmarkEnd w:id="370"/>
    </w:p>
    <w:p>
      <w:pPr>
        <w:numPr>
          <w:ilvl w:val="0"/>
          <w:numId w:val="140"/>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Los precios que cobre el Proveedor por los Bienes proporcionados y los Servicios Conexos prestados en virtud del Contrato no podrán ser diferentes de los cotizados por el Proveedor en su oferta, excepto por cualquier ajuste de precios autorizado en las</w:t>
      </w:r>
      <w:r>
        <w:rPr>
          <w:rFonts w:asciiTheme="minorHAnsi" w:hAnsiTheme="minorHAnsi" w:cstheme="minorHAnsi"/>
          <w:b/>
          <w:sz w:val="20"/>
          <w:szCs w:val="20"/>
          <w:lang w:val="es-EC"/>
        </w:rPr>
        <w:t xml:space="preserve"> CEC</w:t>
      </w:r>
      <w:r>
        <w:rPr>
          <w:rFonts w:asciiTheme="minorHAnsi" w:hAnsiTheme="minorHAnsi" w:cstheme="minorHAnsi"/>
          <w:b/>
          <w:bCs/>
          <w:sz w:val="20"/>
          <w:szCs w:val="20"/>
          <w:lang w:val="es-EC"/>
        </w:rPr>
        <w:t>.</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71" w:name="_Toc478103506"/>
      <w:r>
        <w:rPr>
          <w:rFonts w:asciiTheme="minorHAnsi" w:hAnsiTheme="minorHAnsi" w:cstheme="minorHAnsi"/>
          <w:b/>
          <w:sz w:val="20"/>
          <w:szCs w:val="20"/>
          <w:lang w:val="es-EC"/>
        </w:rPr>
        <w:t>Condiciones de Pago</w:t>
      </w:r>
      <w:bookmarkEnd w:id="371"/>
    </w:p>
    <w:p>
      <w:pPr>
        <w:numPr>
          <w:ilvl w:val="0"/>
          <w:numId w:val="141"/>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El precio del Contrato, incluyendo cualquier pago por anticipo, si corresponde, se pagará según se establece en las</w:t>
      </w:r>
      <w:r>
        <w:rPr>
          <w:rFonts w:asciiTheme="minorHAnsi" w:hAnsiTheme="minorHAnsi" w:cstheme="minorHAnsi"/>
          <w:b/>
          <w:sz w:val="20"/>
          <w:szCs w:val="20"/>
          <w:lang w:val="es-EC"/>
        </w:rPr>
        <w:t xml:space="preserve"> CEC</w:t>
      </w:r>
      <w:r>
        <w:rPr>
          <w:rFonts w:asciiTheme="minorHAnsi" w:hAnsiTheme="minorHAnsi" w:cstheme="minorHAnsi"/>
          <w:b/>
          <w:bCs/>
          <w:sz w:val="20"/>
          <w:szCs w:val="20"/>
          <w:lang w:val="es-EC"/>
        </w:rPr>
        <w:t>.</w:t>
      </w:r>
    </w:p>
    <w:p>
      <w:pPr>
        <w:numPr>
          <w:ilvl w:val="0"/>
          <w:numId w:val="14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pPr>
        <w:numPr>
          <w:ilvl w:val="0"/>
          <w:numId w:val="14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efectuará los pagos prontamente, pero de ninguna manera podrá exceder sesenta (60) días después de la presentación de una factura o solicitud de pago por el Proveedor, y después de que el Comprador la haya aceptado.</w:t>
      </w:r>
    </w:p>
    <w:p>
      <w:pPr>
        <w:numPr>
          <w:ilvl w:val="0"/>
          <w:numId w:val="14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Las monedas en las que se le pagará al Proveedor en virtud de este Contrato serán aquellas que el Proveedor hubiese especificado en su oferta. </w:t>
      </w:r>
    </w:p>
    <w:p>
      <w:pPr>
        <w:numPr>
          <w:ilvl w:val="0"/>
          <w:numId w:val="14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72" w:name="_Toc478103507"/>
      <w:r>
        <w:rPr>
          <w:rFonts w:asciiTheme="minorHAnsi" w:hAnsiTheme="minorHAnsi" w:cstheme="minorHAnsi"/>
          <w:b/>
          <w:sz w:val="20"/>
          <w:szCs w:val="20"/>
          <w:lang w:val="es-EC"/>
        </w:rPr>
        <w:t>Impuestos y Derechos</w:t>
      </w:r>
      <w:bookmarkEnd w:id="372"/>
    </w:p>
    <w:p>
      <w:pPr>
        <w:numPr>
          <w:ilvl w:val="0"/>
          <w:numId w:val="14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En el caso de Bienes fabricados fuera del país del Comprador, el Proveedor será totalmente responsable por todos los impuestos, timbres, comisiones por licencias, y otros cargos similares impuestos fuera del país del Comprador.</w:t>
      </w:r>
    </w:p>
    <w:p>
      <w:pPr>
        <w:numPr>
          <w:ilvl w:val="0"/>
          <w:numId w:val="14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pPr>
        <w:numPr>
          <w:ilvl w:val="0"/>
          <w:numId w:val="14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interpondrá sus mejores oficios para que el Proveedor se beneficie con el mayor alcance posible de cualquier exención impositiva, concesiones, o privilegios legales que pudiesen aplicar al Proveedor en el país del Comprador.</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73" w:name="_Toc478103508"/>
      <w:r>
        <w:rPr>
          <w:rFonts w:asciiTheme="minorHAnsi" w:hAnsiTheme="minorHAnsi" w:cstheme="minorHAnsi"/>
          <w:b/>
          <w:sz w:val="20"/>
          <w:szCs w:val="20"/>
          <w:lang w:val="es-EC"/>
        </w:rPr>
        <w:t>Garantía de Cumplimiento</w:t>
      </w:r>
      <w:bookmarkEnd w:id="373"/>
    </w:p>
    <w:p>
      <w:pPr>
        <w:numPr>
          <w:ilvl w:val="0"/>
          <w:numId w:val="14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así se estipula en las </w:t>
      </w:r>
      <w:r>
        <w:rPr>
          <w:rFonts w:asciiTheme="minorHAnsi" w:hAnsiTheme="minorHAnsi" w:cstheme="minorHAnsi"/>
          <w:b/>
          <w:sz w:val="20"/>
          <w:szCs w:val="20"/>
          <w:lang w:val="es-EC"/>
        </w:rPr>
        <w:t>CEC</w:t>
      </w:r>
      <w:r>
        <w:rPr>
          <w:rFonts w:asciiTheme="minorHAnsi" w:hAnsiTheme="minorHAnsi" w:cstheme="minorHAnsi"/>
          <w:sz w:val="20"/>
          <w:szCs w:val="20"/>
          <w:lang w:val="es-EC"/>
        </w:rPr>
        <w:t xml:space="preserve">, el Proveedor, dentro de los siguientes veintiocho (28) días de la notificación de la adjudicación del Contrato, deberá suministrar la Garantía de Cumplimiento del Contrato por el monto establecido en las </w:t>
      </w:r>
      <w:r>
        <w:rPr>
          <w:rFonts w:asciiTheme="minorHAnsi" w:hAnsiTheme="minorHAnsi" w:cstheme="minorHAnsi"/>
          <w:b/>
          <w:sz w:val="20"/>
          <w:szCs w:val="20"/>
          <w:lang w:val="es-EC"/>
        </w:rPr>
        <w:t>CEC</w:t>
      </w:r>
      <w:r>
        <w:rPr>
          <w:rFonts w:asciiTheme="minorHAnsi" w:hAnsiTheme="minorHAnsi" w:cstheme="minorHAnsi"/>
          <w:sz w:val="20"/>
          <w:szCs w:val="20"/>
          <w:lang w:val="es-EC"/>
        </w:rPr>
        <w:t>.</w:t>
      </w:r>
    </w:p>
    <w:p>
      <w:pPr>
        <w:numPr>
          <w:ilvl w:val="0"/>
          <w:numId w:val="14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Los recursos de la Garantía de Cumplimiento serán pagaderos al Comprador como indemnización por cualquier pérdida que le pudiera ocasionar el incumplimiento de las obligaciones del Proveedor en virtud del Contrato.</w:t>
      </w:r>
    </w:p>
    <w:p>
      <w:pPr>
        <w:numPr>
          <w:ilvl w:val="0"/>
          <w:numId w:val="14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pPr>
        <w:numPr>
          <w:ilvl w:val="0"/>
          <w:numId w:val="14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74" w:name="_Toc478103509"/>
      <w:r>
        <w:rPr>
          <w:rFonts w:asciiTheme="minorHAnsi" w:hAnsiTheme="minorHAnsi" w:cstheme="minorHAnsi"/>
          <w:b/>
          <w:sz w:val="20"/>
          <w:szCs w:val="20"/>
          <w:lang w:val="es-EC"/>
        </w:rPr>
        <w:t>Derechos de Autor</w:t>
      </w:r>
      <w:bookmarkEnd w:id="374"/>
    </w:p>
    <w:p>
      <w:pPr>
        <w:numPr>
          <w:ilvl w:val="0"/>
          <w:numId w:val="144"/>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75" w:name="_Toc478103510"/>
      <w:r>
        <w:rPr>
          <w:rFonts w:asciiTheme="minorHAnsi" w:hAnsiTheme="minorHAnsi" w:cstheme="minorHAnsi"/>
          <w:b/>
          <w:sz w:val="20"/>
          <w:szCs w:val="20"/>
          <w:lang w:val="es-EC"/>
        </w:rPr>
        <w:t>Confidencialidad de la Información</w:t>
      </w:r>
      <w:bookmarkEnd w:id="375"/>
    </w:p>
    <w:p>
      <w:pPr>
        <w:numPr>
          <w:ilvl w:val="0"/>
          <w:numId w:val="14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pPr>
        <w:numPr>
          <w:ilvl w:val="0"/>
          <w:numId w:val="14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pPr>
        <w:numPr>
          <w:ilvl w:val="0"/>
          <w:numId w:val="14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 obligación de las partes de conformidad con las Subcláusulas 20.1 y 20.2 de las CGC arriba mencionadas, no aplicará a información que:</w:t>
      </w:r>
    </w:p>
    <w:p>
      <w:pPr>
        <w:numPr>
          <w:ilvl w:val="0"/>
          <w:numId w:val="146"/>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Comprador o el Proveedor requieran compartir con el Banco u otras instituciones que participan en el financiamiento del Contrato; </w:t>
      </w:r>
    </w:p>
    <w:p>
      <w:pPr>
        <w:numPr>
          <w:ilvl w:val="0"/>
          <w:numId w:val="146"/>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actualmente o en el futuro se hace de dominio público sin culpa de ninguna de las partes;</w:t>
      </w:r>
    </w:p>
    <w:p>
      <w:pPr>
        <w:numPr>
          <w:ilvl w:val="0"/>
          <w:numId w:val="146"/>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 </w:t>
      </w:r>
      <w:r>
        <w:rPr>
          <w:rFonts w:asciiTheme="minorHAnsi" w:hAnsiTheme="minorHAnsi" w:cstheme="minorHAnsi"/>
          <w:sz w:val="20"/>
          <w:szCs w:val="20"/>
          <w:lang w:val="es-EC"/>
        </w:rPr>
        <w:tab/>
      </w:r>
      <w:r>
        <w:rPr>
          <w:rFonts w:asciiTheme="minorHAnsi" w:hAnsiTheme="minorHAnsi" w:cstheme="minorHAnsi"/>
          <w:sz w:val="20"/>
          <w:szCs w:val="20"/>
          <w:lang w:val="es-EC"/>
        </w:rPr>
        <w:t xml:space="preserve"> puede comprobarse que estaba en posesión de esa parte en el momento que fue divulgada y no fue obtenida previamente directa o indirectamente de la otra parte; o</w:t>
      </w:r>
    </w:p>
    <w:p>
      <w:pPr>
        <w:numPr>
          <w:ilvl w:val="0"/>
          <w:numId w:val="146"/>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(d)</w:t>
      </w:r>
      <w:r>
        <w:rPr>
          <w:rFonts w:asciiTheme="minorHAnsi" w:hAnsiTheme="minorHAnsi" w:cstheme="minorHAnsi"/>
          <w:sz w:val="20"/>
          <w:szCs w:val="20"/>
          <w:lang w:val="es-EC"/>
        </w:rPr>
        <w:tab/>
      </w:r>
      <w:r>
        <w:rPr>
          <w:rFonts w:asciiTheme="minorHAnsi" w:hAnsiTheme="minorHAnsi" w:cstheme="minorHAnsi"/>
          <w:sz w:val="20"/>
          <w:szCs w:val="20"/>
          <w:lang w:val="es-EC"/>
        </w:rPr>
        <w:t>que de otra manera fue legalmente puesta a la disponibilidad de esa parte por una tercera parte que no tenía obligación de confidencialidad.</w:t>
      </w:r>
    </w:p>
    <w:p>
      <w:pPr>
        <w:numPr>
          <w:ilvl w:val="0"/>
          <w:numId w:val="14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pPr>
        <w:numPr>
          <w:ilvl w:val="0"/>
          <w:numId w:val="14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Las disposiciones de la Cláusula 20 de las CGC permanecerán válidas después del cumplimiento o terminación del Contrato por cualquier razón.</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76" w:name="_Toc478103511"/>
      <w:r>
        <w:rPr>
          <w:rFonts w:asciiTheme="minorHAnsi" w:hAnsiTheme="minorHAnsi" w:cstheme="minorHAnsi"/>
          <w:b/>
          <w:sz w:val="20"/>
          <w:szCs w:val="20"/>
          <w:lang w:val="es-EC"/>
        </w:rPr>
        <w:t>Subcontratación</w:t>
      </w:r>
      <w:bookmarkEnd w:id="376"/>
    </w:p>
    <w:p>
      <w:pPr>
        <w:numPr>
          <w:ilvl w:val="0"/>
          <w:numId w:val="147"/>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pPr>
        <w:numPr>
          <w:ilvl w:val="0"/>
          <w:numId w:val="147"/>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Todos los subcontratos deberán cumplir con las disposiciones de las Cláusulas 3 y 7 de las CGC.</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77" w:name="_Toc478103512"/>
      <w:r>
        <w:rPr>
          <w:rFonts w:asciiTheme="minorHAnsi" w:hAnsiTheme="minorHAnsi" w:cstheme="minorHAnsi"/>
          <w:b/>
          <w:sz w:val="20"/>
          <w:szCs w:val="20"/>
          <w:lang w:val="es-EC"/>
        </w:rPr>
        <w:t>Especificaciones y Normas</w:t>
      </w:r>
      <w:bookmarkEnd w:id="377"/>
    </w:p>
    <w:p>
      <w:pPr>
        <w:numPr>
          <w:ilvl w:val="0"/>
          <w:numId w:val="148"/>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Especificaciones Técnicas y Planos</w:t>
      </w:r>
    </w:p>
    <w:p>
      <w:pPr>
        <w:numPr>
          <w:ilvl w:val="0"/>
          <w:numId w:val="14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pPr>
        <w:numPr>
          <w:ilvl w:val="0"/>
          <w:numId w:val="14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pPr>
        <w:numPr>
          <w:ilvl w:val="0"/>
          <w:numId w:val="149"/>
        </w:numPr>
        <w:spacing w:before="60" w:after="60" w:line="240" w:lineRule="auto"/>
        <w:ind w:left="1620"/>
        <w:jc w:val="both"/>
        <w:rPr>
          <w:rFonts w:asciiTheme="minorHAnsi" w:hAnsiTheme="minorHAnsi" w:cstheme="minorHAnsi"/>
          <w:b/>
          <w:sz w:val="20"/>
          <w:szCs w:val="20"/>
          <w:lang w:val="es-EC"/>
        </w:rPr>
      </w:pPr>
      <w:r>
        <w:rPr>
          <w:rFonts w:asciiTheme="minorHAnsi" w:hAnsiTheme="minorHAnsi" w:cstheme="minorHAnsi"/>
          <w:sz w:val="20"/>
          <w:szCs w:val="20"/>
          <w:lang w:val="es-EC"/>
        </w:rPr>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33 de las CGC.</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78" w:name="_Toc106188582"/>
      <w:bookmarkStart w:id="379" w:name="_Toc478103513"/>
      <w:r>
        <w:rPr>
          <w:rFonts w:asciiTheme="minorHAnsi" w:hAnsiTheme="minorHAnsi" w:cstheme="minorHAnsi"/>
          <w:b/>
          <w:sz w:val="20"/>
          <w:szCs w:val="20"/>
          <w:lang w:val="es-EC"/>
        </w:rPr>
        <w:t>Embalaje y Documentos</w:t>
      </w:r>
      <w:bookmarkEnd w:id="378"/>
      <w:bookmarkEnd w:id="379"/>
    </w:p>
    <w:p>
      <w:pPr>
        <w:numPr>
          <w:ilvl w:val="0"/>
          <w:numId w:val="15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pPr>
        <w:numPr>
          <w:ilvl w:val="0"/>
          <w:numId w:val="150"/>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 xml:space="preserve"> y en cualquiera otra instrucción dispuesta por el Comprador.</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80" w:name="_Toc106188583"/>
      <w:bookmarkStart w:id="381" w:name="_Toc478103514"/>
      <w:r>
        <w:rPr>
          <w:rFonts w:asciiTheme="minorHAnsi" w:hAnsiTheme="minorHAnsi" w:cstheme="minorHAnsi"/>
          <w:b/>
          <w:sz w:val="20"/>
          <w:szCs w:val="20"/>
          <w:lang w:val="es-EC"/>
        </w:rPr>
        <w:t>Seguros</w:t>
      </w:r>
      <w:bookmarkEnd w:id="380"/>
      <w:bookmarkEnd w:id="381"/>
    </w:p>
    <w:p>
      <w:pPr>
        <w:numPr>
          <w:ilvl w:val="0"/>
          <w:numId w:val="151"/>
        </w:numPr>
        <w:spacing w:before="60" w:after="60" w:line="240" w:lineRule="auto"/>
        <w:ind w:left="1267" w:hanging="720"/>
        <w:jc w:val="both"/>
        <w:rPr>
          <w:rFonts w:asciiTheme="minorHAnsi" w:hAnsiTheme="minorHAnsi" w:cstheme="minorHAnsi"/>
          <w:b/>
          <w:sz w:val="20"/>
          <w:szCs w:val="20"/>
          <w:lang w:val="es-EC"/>
        </w:rPr>
      </w:pPr>
      <w:r>
        <w:rPr>
          <w:rFonts w:asciiTheme="minorHAnsi" w:hAnsiTheme="minorHAnsi" w:cstheme="minorHAnsi"/>
          <w:sz w:val="20"/>
          <w:szCs w:val="20"/>
          <w:lang w:val="es-EC"/>
        </w:rPr>
        <w:t>A menos que se disponga otra cosa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Pr>
          <w:rFonts w:asciiTheme="minorHAnsi" w:hAnsiTheme="minorHAnsi" w:cstheme="minorHAnsi"/>
          <w:i/>
          <w:sz w:val="20"/>
          <w:szCs w:val="20"/>
          <w:lang w:val="es-EC"/>
        </w:rPr>
        <w:t>Incoterms</w:t>
      </w:r>
      <w:r>
        <w:rPr>
          <w:rFonts w:asciiTheme="minorHAnsi" w:hAnsiTheme="minorHAnsi" w:cstheme="minorHAnsi"/>
          <w:sz w:val="20"/>
          <w:szCs w:val="20"/>
          <w:lang w:val="es-EC"/>
        </w:rPr>
        <w:t xml:space="preserve"> aplicables o según se disponga en las</w:t>
      </w:r>
      <w:r>
        <w:rPr>
          <w:rFonts w:asciiTheme="minorHAnsi" w:hAnsiTheme="minorHAnsi" w:cstheme="minorHAnsi"/>
          <w:b/>
          <w:sz w:val="20"/>
          <w:szCs w:val="20"/>
          <w:lang w:val="es-EC"/>
        </w:rPr>
        <w:t xml:space="preserve"> CEC</w:t>
      </w:r>
      <w:r>
        <w:rPr>
          <w:rFonts w:asciiTheme="minorHAnsi" w:hAnsiTheme="minorHAnsi" w:cstheme="minorHAnsi"/>
          <w:b/>
          <w:bCs/>
          <w:sz w:val="20"/>
          <w:szCs w:val="20"/>
          <w:lang w:val="es-EC"/>
        </w:rPr>
        <w:t>.</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82" w:name="_Toc106188584"/>
      <w:bookmarkStart w:id="383" w:name="_Toc478103515"/>
      <w:r>
        <w:rPr>
          <w:rFonts w:asciiTheme="minorHAnsi" w:hAnsiTheme="minorHAnsi" w:cstheme="minorHAnsi"/>
          <w:b/>
          <w:sz w:val="20"/>
          <w:szCs w:val="20"/>
          <w:lang w:val="es-EC"/>
        </w:rPr>
        <w:t>Transporte</w:t>
      </w:r>
      <w:bookmarkEnd w:id="382"/>
      <w:bookmarkEnd w:id="383"/>
    </w:p>
    <w:p>
      <w:pPr>
        <w:numPr>
          <w:ilvl w:val="0"/>
          <w:numId w:val="152"/>
        </w:numPr>
        <w:spacing w:before="60" w:after="60" w:line="240" w:lineRule="auto"/>
        <w:ind w:left="1267" w:hanging="720"/>
        <w:jc w:val="both"/>
        <w:rPr>
          <w:rFonts w:asciiTheme="minorHAnsi" w:hAnsiTheme="minorHAnsi" w:cstheme="minorHAnsi"/>
          <w:b/>
          <w:sz w:val="20"/>
          <w:szCs w:val="20"/>
          <w:lang w:val="es-EC"/>
        </w:rPr>
      </w:pPr>
      <w:r>
        <w:rPr>
          <w:rFonts w:asciiTheme="minorHAnsi" w:hAnsiTheme="minorHAnsi" w:cstheme="minorHAnsi"/>
          <w:sz w:val="20"/>
          <w:szCs w:val="20"/>
          <w:lang w:val="es-EC"/>
        </w:rPr>
        <w:t>A menos que se disponga otra cosa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 xml:space="preserve">, la responsabilidad por los arreglos de transporte de los Bienes se regirá por los </w:t>
      </w:r>
      <w:r>
        <w:rPr>
          <w:rFonts w:asciiTheme="minorHAnsi" w:hAnsiTheme="minorHAnsi" w:cstheme="minorHAnsi"/>
          <w:i/>
          <w:sz w:val="20"/>
          <w:szCs w:val="20"/>
          <w:lang w:val="es-EC"/>
        </w:rPr>
        <w:t>Incoterms</w:t>
      </w:r>
      <w:r>
        <w:rPr>
          <w:rFonts w:asciiTheme="minorHAnsi" w:hAnsiTheme="minorHAnsi" w:cstheme="minorHAnsi"/>
          <w:sz w:val="20"/>
          <w:szCs w:val="20"/>
          <w:lang w:val="es-EC"/>
        </w:rPr>
        <w:t xml:space="preserve"> indicados.</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84" w:name="_Toc106188585"/>
      <w:bookmarkStart w:id="385" w:name="_Toc478103516"/>
      <w:r>
        <w:rPr>
          <w:rFonts w:asciiTheme="minorHAnsi" w:hAnsiTheme="minorHAnsi" w:cstheme="minorHAnsi"/>
          <w:b/>
          <w:sz w:val="20"/>
          <w:szCs w:val="20"/>
          <w:lang w:val="es-EC"/>
        </w:rPr>
        <w:t>Inspecciones y Pruebas</w:t>
      </w:r>
      <w:bookmarkEnd w:id="384"/>
      <w:bookmarkEnd w:id="385"/>
    </w:p>
    <w:p>
      <w:pPr>
        <w:numPr>
          <w:ilvl w:val="0"/>
          <w:numId w:val="15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Proveedor realizará todas las pruebas y/o inspecciones de los Bienes y Servicios Conexos según se dispone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 por su cuenta y sin costo alguno para el Comprador.</w:t>
      </w:r>
    </w:p>
    <w:p>
      <w:pPr>
        <w:numPr>
          <w:ilvl w:val="0"/>
          <w:numId w:val="15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pPr>
        <w:numPr>
          <w:ilvl w:val="0"/>
          <w:numId w:val="15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pPr>
        <w:numPr>
          <w:ilvl w:val="0"/>
          <w:numId w:val="15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pPr>
        <w:numPr>
          <w:ilvl w:val="0"/>
          <w:numId w:val="15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pPr>
        <w:numPr>
          <w:ilvl w:val="0"/>
          <w:numId w:val="15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Proveedor presentará al Comprador un informe de los resultados de dichas pruebas y/o inspecciones.</w:t>
      </w:r>
    </w:p>
    <w:p>
      <w:pPr>
        <w:numPr>
          <w:ilvl w:val="0"/>
          <w:numId w:val="15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w:t>
      </w:r>
    </w:p>
    <w:p>
      <w:pPr>
        <w:numPr>
          <w:ilvl w:val="0"/>
          <w:numId w:val="153"/>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86" w:name="_Toc478103517"/>
      <w:bookmarkStart w:id="387" w:name="_Toc106188586"/>
      <w:r>
        <w:rPr>
          <w:rFonts w:asciiTheme="minorHAnsi" w:hAnsiTheme="minorHAnsi" w:cstheme="minorHAnsi"/>
          <w:b/>
          <w:sz w:val="20"/>
          <w:szCs w:val="20"/>
          <w:lang w:val="es-EC"/>
        </w:rPr>
        <w:t>Liquidación por Daños y Perjuicios</w:t>
      </w:r>
      <w:bookmarkEnd w:id="386"/>
      <w:bookmarkEnd w:id="387"/>
    </w:p>
    <w:p>
      <w:pPr>
        <w:numPr>
          <w:ilvl w:val="0"/>
          <w:numId w:val="154"/>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 xml:space="preserve"> por cada semana o parte de la semana de retraso hasta alcanzar el máximo del porcentaje especificado en esas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 Al alcanzar el máximo establecido, el Comprador podrá dar por terminado el Contrato de conformidad con la Cláusula 35 de las CGC.</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88" w:name="_Toc106188587"/>
      <w:bookmarkStart w:id="389" w:name="_Toc478103518"/>
      <w:r>
        <w:rPr>
          <w:rFonts w:asciiTheme="minorHAnsi" w:hAnsiTheme="minorHAnsi" w:cstheme="minorHAnsi"/>
          <w:b/>
          <w:sz w:val="20"/>
          <w:szCs w:val="20"/>
          <w:lang w:val="es-EC"/>
        </w:rPr>
        <w:t>Garantía de los Bienes</w:t>
      </w:r>
      <w:bookmarkEnd w:id="388"/>
      <w:bookmarkEnd w:id="389"/>
    </w:p>
    <w:p>
      <w:pPr>
        <w:numPr>
          <w:ilvl w:val="0"/>
          <w:numId w:val="15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Proveedor garantiza que todos los bienes suministrados en virtud del Contrato son nuevos, sin uso, del modelo más reciente o actual e incorporan todas las mejoras recientes en cuanto a diseño y materiales, a menos que el Contrato disponga otra cosa.</w:t>
      </w:r>
    </w:p>
    <w:p>
      <w:pPr>
        <w:numPr>
          <w:ilvl w:val="0"/>
          <w:numId w:val="15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pPr>
        <w:numPr>
          <w:ilvl w:val="0"/>
          <w:numId w:val="15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Salvo que se indique otra cosa en las</w:t>
      </w:r>
      <w:r>
        <w:rPr>
          <w:rFonts w:asciiTheme="minorHAnsi" w:hAnsiTheme="minorHAnsi" w:cstheme="minorHAnsi"/>
          <w:b/>
          <w:sz w:val="20"/>
          <w:szCs w:val="20"/>
          <w:lang w:val="es-EC"/>
        </w:rPr>
        <w:t xml:space="preserve"> CEC,</w:t>
      </w:r>
      <w:r>
        <w:rPr>
          <w:rFonts w:asciiTheme="minorHAnsi" w:hAnsiTheme="minorHAnsi" w:cstheme="minorHAnsi"/>
          <w:sz w:val="20"/>
          <w:szCs w:val="20"/>
          <w:lang w:val="es-EC"/>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pPr>
        <w:numPr>
          <w:ilvl w:val="0"/>
          <w:numId w:val="15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pPr>
        <w:numPr>
          <w:ilvl w:val="0"/>
          <w:numId w:val="15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Tan pronto reciba el Proveedor dicha comunicación, y dentro del plazo establecido en las CEC, deberá reparar o reemplazar los Bienes defectuosos, o sus partes sin ningún costo para el Comprador. </w:t>
      </w:r>
    </w:p>
    <w:p>
      <w:pPr>
        <w:numPr>
          <w:ilvl w:val="0"/>
          <w:numId w:val="15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90" w:name="_Toc106188588"/>
      <w:bookmarkStart w:id="391" w:name="_Toc478103519"/>
      <w:r>
        <w:rPr>
          <w:rFonts w:asciiTheme="minorHAnsi" w:hAnsiTheme="minorHAnsi" w:cstheme="minorHAnsi"/>
          <w:b/>
          <w:sz w:val="20"/>
          <w:szCs w:val="20"/>
          <w:lang w:val="es-EC"/>
        </w:rPr>
        <w:t>Indemnización por Derechos de Patente</w:t>
      </w:r>
      <w:bookmarkEnd w:id="390"/>
      <w:bookmarkEnd w:id="391"/>
    </w:p>
    <w:p>
      <w:pPr>
        <w:numPr>
          <w:ilvl w:val="0"/>
          <w:numId w:val="156"/>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pPr>
        <w:numPr>
          <w:ilvl w:val="0"/>
          <w:numId w:val="157"/>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la instalación de los bienes por el Proveedor o el uso de los bienes en el País donde está el lugar del proyecto; y</w:t>
      </w:r>
    </w:p>
    <w:p>
      <w:pPr>
        <w:numPr>
          <w:ilvl w:val="0"/>
          <w:numId w:val="157"/>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la venta de los productos producidos por los Bienes en cualquier país.</w:t>
      </w:r>
    </w:p>
    <w:p>
      <w:pPr>
        <w:spacing w:before="60" w:after="60" w:line="240" w:lineRule="auto"/>
        <w:ind w:left="1260"/>
        <w:jc w:val="both"/>
        <w:rPr>
          <w:rFonts w:asciiTheme="minorHAnsi" w:hAnsiTheme="minorHAnsi" w:cstheme="minorHAnsi"/>
          <w:sz w:val="20"/>
          <w:szCs w:val="20"/>
          <w:lang w:val="es-EC"/>
        </w:rPr>
      </w:pPr>
      <w:r>
        <w:rPr>
          <w:rFonts w:asciiTheme="minorHAnsi" w:hAnsiTheme="minorHAnsi" w:cstheme="minorHAnsi"/>
          <w:sz w:val="20"/>
          <w:szCs w:val="20"/>
          <w:lang w:val="es-EC"/>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pPr>
        <w:numPr>
          <w:ilvl w:val="0"/>
          <w:numId w:val="15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pPr>
        <w:numPr>
          <w:ilvl w:val="0"/>
          <w:numId w:val="15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pPr>
        <w:numPr>
          <w:ilvl w:val="0"/>
          <w:numId w:val="15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pPr>
        <w:numPr>
          <w:ilvl w:val="0"/>
          <w:numId w:val="156"/>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92" w:name="_Toc106188589"/>
      <w:bookmarkStart w:id="393" w:name="_Toc478103520"/>
      <w:r>
        <w:rPr>
          <w:rFonts w:asciiTheme="minorHAnsi" w:hAnsiTheme="minorHAnsi" w:cstheme="minorHAnsi"/>
          <w:b/>
          <w:sz w:val="20"/>
          <w:szCs w:val="20"/>
          <w:lang w:val="es-EC"/>
        </w:rPr>
        <w:t>Limitación de Responsabilidad</w:t>
      </w:r>
      <w:bookmarkEnd w:id="392"/>
      <w:bookmarkEnd w:id="393"/>
    </w:p>
    <w:p>
      <w:pPr>
        <w:numPr>
          <w:ilvl w:val="0"/>
          <w:numId w:val="158"/>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Excepto en casos de negligencia criminal o de malversación,</w:t>
      </w:r>
    </w:p>
    <w:p>
      <w:pPr>
        <w:numPr>
          <w:ilvl w:val="0"/>
          <w:numId w:val="15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pPr>
        <w:numPr>
          <w:ilvl w:val="0"/>
          <w:numId w:val="15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94" w:name="_Toc106188590"/>
      <w:bookmarkStart w:id="395" w:name="_Toc478103521"/>
      <w:r>
        <w:rPr>
          <w:rFonts w:asciiTheme="minorHAnsi" w:hAnsiTheme="minorHAnsi" w:cstheme="minorHAnsi"/>
          <w:b/>
          <w:sz w:val="20"/>
          <w:szCs w:val="20"/>
          <w:lang w:val="es-EC"/>
        </w:rPr>
        <w:t>Cambio en las Leyes y Regulaciones</w:t>
      </w:r>
      <w:bookmarkEnd w:id="394"/>
      <w:bookmarkEnd w:id="395"/>
    </w:p>
    <w:p>
      <w:pPr>
        <w:numPr>
          <w:ilvl w:val="0"/>
          <w:numId w:val="160"/>
        </w:numPr>
        <w:spacing w:before="60" w:after="60" w:line="240" w:lineRule="auto"/>
        <w:ind w:left="1260" w:hanging="720"/>
        <w:jc w:val="both"/>
        <w:rPr>
          <w:rFonts w:asciiTheme="minorHAnsi" w:hAnsiTheme="minorHAnsi" w:cstheme="minorHAnsi"/>
          <w:b/>
          <w:sz w:val="20"/>
          <w:szCs w:val="20"/>
          <w:lang w:val="es-EC"/>
        </w:rPr>
      </w:pPr>
      <w:r>
        <w:rPr>
          <w:rFonts w:asciiTheme="minorHAnsi" w:hAnsiTheme="minorHAnsi" w:cstheme="minorHAnsi"/>
          <w:sz w:val="20"/>
          <w:szCs w:val="20"/>
          <w:lang w:val="es-EC"/>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96" w:name="_Toc478103522"/>
      <w:bookmarkStart w:id="397" w:name="_Toc106188591"/>
      <w:r>
        <w:rPr>
          <w:rFonts w:asciiTheme="minorHAnsi" w:hAnsiTheme="minorHAnsi" w:cstheme="minorHAnsi"/>
          <w:b/>
          <w:sz w:val="20"/>
          <w:szCs w:val="20"/>
          <w:lang w:val="es-EC"/>
        </w:rPr>
        <w:t>Fuerza Mayor</w:t>
      </w:r>
      <w:bookmarkEnd w:id="396"/>
      <w:bookmarkEnd w:id="397"/>
    </w:p>
    <w:p>
      <w:pPr>
        <w:numPr>
          <w:ilvl w:val="0"/>
          <w:numId w:val="16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pPr>
        <w:numPr>
          <w:ilvl w:val="0"/>
          <w:numId w:val="16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pPr>
        <w:numPr>
          <w:ilvl w:val="0"/>
          <w:numId w:val="16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398" w:name="_Toc106188592"/>
      <w:bookmarkStart w:id="399" w:name="_Toc478103523"/>
      <w:r>
        <w:rPr>
          <w:rFonts w:asciiTheme="minorHAnsi" w:hAnsiTheme="minorHAnsi" w:cstheme="minorHAnsi"/>
          <w:b/>
          <w:sz w:val="20"/>
          <w:szCs w:val="20"/>
          <w:lang w:val="es-EC"/>
        </w:rPr>
        <w:t>Ordenes de Cambio y Enmiendas al Contrato</w:t>
      </w:r>
      <w:bookmarkEnd w:id="398"/>
      <w:bookmarkEnd w:id="399"/>
    </w:p>
    <w:p>
      <w:pPr>
        <w:numPr>
          <w:ilvl w:val="0"/>
          <w:numId w:val="16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El Comprador podrá, en cualquier momento, efectuar cambios dentro del marco general del Contrato, mediante orden escrita al Proveedor de acuerdo con la Cláusula 8 de las CGC, en uno o más de los siguientes aspectos:</w:t>
      </w:r>
    </w:p>
    <w:p>
      <w:pPr>
        <w:numPr>
          <w:ilvl w:val="0"/>
          <w:numId w:val="163"/>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planos, diseños o especificaciones, cuando los Bienes que deban suministrarse en virtud al Contrato deban ser fabricados específicamente para el Comprador;</w:t>
      </w:r>
    </w:p>
    <w:p>
      <w:pPr>
        <w:numPr>
          <w:ilvl w:val="0"/>
          <w:numId w:val="163"/>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la forma de embarque o de embalaje;</w:t>
      </w:r>
    </w:p>
    <w:p>
      <w:pPr>
        <w:numPr>
          <w:ilvl w:val="0"/>
          <w:numId w:val="163"/>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el lugar de entrega, y/o</w:t>
      </w:r>
    </w:p>
    <w:p>
      <w:pPr>
        <w:numPr>
          <w:ilvl w:val="0"/>
          <w:numId w:val="163"/>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los Servicios Conexos que deba suministrar el Proveedor.</w:t>
      </w:r>
    </w:p>
    <w:p>
      <w:pPr>
        <w:numPr>
          <w:ilvl w:val="0"/>
          <w:numId w:val="16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pPr>
        <w:numPr>
          <w:ilvl w:val="0"/>
          <w:numId w:val="16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pPr>
        <w:numPr>
          <w:ilvl w:val="0"/>
          <w:numId w:val="16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Sujeto a lo anterior, no se introducirá ningún cambio o modificación al Contrato excepto mediante una enmienda por escrito ejecutada por ambas partes.</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400" w:name="_Toc106188593"/>
      <w:bookmarkStart w:id="401" w:name="_Toc478103524"/>
      <w:r>
        <w:rPr>
          <w:rFonts w:asciiTheme="minorHAnsi" w:hAnsiTheme="minorHAnsi" w:cstheme="minorHAnsi"/>
          <w:b/>
          <w:sz w:val="20"/>
          <w:szCs w:val="20"/>
          <w:lang w:val="es-EC"/>
        </w:rPr>
        <w:t>Prórroga de los Plazos</w:t>
      </w:r>
      <w:bookmarkEnd w:id="400"/>
      <w:bookmarkEnd w:id="401"/>
    </w:p>
    <w:p>
      <w:pPr>
        <w:numPr>
          <w:ilvl w:val="0"/>
          <w:numId w:val="164"/>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pPr>
        <w:numPr>
          <w:ilvl w:val="0"/>
          <w:numId w:val="164"/>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402" w:name="_Toc478103525"/>
      <w:r>
        <w:rPr>
          <w:rFonts w:asciiTheme="minorHAnsi" w:hAnsiTheme="minorHAnsi" w:cstheme="minorHAnsi"/>
          <w:b/>
          <w:sz w:val="20"/>
          <w:szCs w:val="20"/>
          <w:lang w:val="es-EC"/>
        </w:rPr>
        <w:t>Terminación</w:t>
      </w:r>
      <w:bookmarkEnd w:id="402"/>
    </w:p>
    <w:p>
      <w:pPr>
        <w:numPr>
          <w:ilvl w:val="0"/>
          <w:numId w:val="16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Terminación por Incumplimiento</w:t>
      </w:r>
    </w:p>
    <w:p>
      <w:pPr>
        <w:numPr>
          <w:ilvl w:val="0"/>
          <w:numId w:val="166"/>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pPr>
        <w:pStyle w:val="73"/>
        <w:widowControl w:val="0"/>
        <w:numPr>
          <w:ilvl w:val="0"/>
          <w:numId w:val="167"/>
        </w:numPr>
        <w:tabs>
          <w:tab w:val="clear" w:pos="1440"/>
        </w:tabs>
        <w:spacing w:before="60" w:after="60"/>
        <w:ind w:left="1980"/>
        <w:rPr>
          <w:rFonts w:asciiTheme="minorHAnsi" w:hAnsiTheme="minorHAnsi" w:cstheme="minorHAnsi"/>
          <w:sz w:val="20"/>
          <w:lang w:val="es-EC"/>
        </w:rPr>
      </w:pPr>
      <w:r>
        <w:rPr>
          <w:rFonts w:asciiTheme="minorHAnsi" w:hAnsiTheme="minorHAnsi" w:cstheme="minorHAnsi"/>
          <w:sz w:val="20"/>
          <w:lang w:val="es-EC"/>
        </w:rPr>
        <w:t>si el Proveedor no entrega parte o ninguno de los Bienes dentro del  período establecido en el Contrato, o dentro de alguna prórroga otorgada por el Comprador de conformidad con la Cláusula 34 de las CGC; o</w:t>
      </w:r>
    </w:p>
    <w:p>
      <w:pPr>
        <w:pStyle w:val="73"/>
        <w:widowControl w:val="0"/>
        <w:numPr>
          <w:ilvl w:val="0"/>
          <w:numId w:val="167"/>
        </w:numPr>
        <w:tabs>
          <w:tab w:val="clear" w:pos="1440"/>
        </w:tabs>
        <w:spacing w:before="60" w:after="60"/>
        <w:ind w:left="1980"/>
        <w:rPr>
          <w:rFonts w:asciiTheme="minorHAnsi" w:hAnsiTheme="minorHAnsi" w:cstheme="minorHAnsi"/>
          <w:sz w:val="20"/>
          <w:lang w:val="es-EC"/>
        </w:rPr>
      </w:pPr>
      <w:r>
        <w:rPr>
          <w:rFonts w:asciiTheme="minorHAnsi" w:hAnsiTheme="minorHAnsi" w:cstheme="minorHAnsi"/>
          <w:sz w:val="20"/>
          <w:lang w:val="es-EC"/>
        </w:rPr>
        <w:t>Si el Proveedor no cumple con cualquier otra obligación en virtud del Contrato; o</w:t>
      </w:r>
    </w:p>
    <w:p>
      <w:pPr>
        <w:pStyle w:val="73"/>
        <w:widowControl w:val="0"/>
        <w:numPr>
          <w:ilvl w:val="0"/>
          <w:numId w:val="167"/>
        </w:numPr>
        <w:tabs>
          <w:tab w:val="clear" w:pos="1440"/>
        </w:tabs>
        <w:spacing w:before="60" w:after="60"/>
        <w:ind w:left="1980"/>
        <w:rPr>
          <w:rFonts w:asciiTheme="minorHAnsi" w:hAnsiTheme="minorHAnsi" w:cstheme="minorHAnsi"/>
          <w:sz w:val="20"/>
          <w:lang w:val="es-EC"/>
        </w:rPr>
      </w:pPr>
      <w:r>
        <w:rPr>
          <w:rFonts w:asciiTheme="minorHAnsi" w:hAnsiTheme="minorHAnsi" w:cstheme="minorHAnsi"/>
          <w:sz w:val="20"/>
          <w:lang w:val="es-EC"/>
        </w:rPr>
        <w:t>Si el Proveedor, a juicio del Comprador, durante el proceso de licitación o de ejecución del Contrato, ha participado en prácticas prohibidas, según se define en la Cláusula 3 de las CGC.</w:t>
      </w:r>
    </w:p>
    <w:p>
      <w:pPr>
        <w:numPr>
          <w:ilvl w:val="0"/>
          <w:numId w:val="166"/>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pPr>
        <w:numPr>
          <w:ilvl w:val="0"/>
          <w:numId w:val="16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Terminación por Insolvencia</w:t>
      </w:r>
    </w:p>
    <w:p>
      <w:pPr>
        <w:numPr>
          <w:ilvl w:val="0"/>
          <w:numId w:val="168"/>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pPr>
        <w:numPr>
          <w:ilvl w:val="0"/>
          <w:numId w:val="165"/>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Terminación por Conveniencia</w:t>
      </w:r>
    </w:p>
    <w:p>
      <w:pPr>
        <w:numPr>
          <w:ilvl w:val="0"/>
          <w:numId w:val="16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pPr>
        <w:numPr>
          <w:ilvl w:val="0"/>
          <w:numId w:val="169"/>
        </w:numPr>
        <w:spacing w:before="60" w:after="60" w:line="240" w:lineRule="auto"/>
        <w:ind w:left="1620"/>
        <w:jc w:val="both"/>
        <w:rPr>
          <w:rFonts w:asciiTheme="minorHAnsi" w:hAnsiTheme="minorHAnsi" w:cstheme="minorHAnsi"/>
          <w:sz w:val="20"/>
          <w:szCs w:val="20"/>
          <w:lang w:val="es-EC"/>
        </w:rPr>
      </w:pPr>
      <w:r>
        <w:rPr>
          <w:rFonts w:asciiTheme="minorHAnsi" w:hAnsiTheme="minorHAnsi" w:cstheme="minorHAnsi"/>
          <w:sz w:val="20"/>
          <w:szCs w:val="20"/>
          <w:lang w:val="es-EC"/>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pPr>
        <w:pStyle w:val="73"/>
        <w:widowControl w:val="0"/>
        <w:numPr>
          <w:ilvl w:val="0"/>
          <w:numId w:val="170"/>
        </w:numPr>
        <w:tabs>
          <w:tab w:val="clear" w:pos="1440"/>
        </w:tabs>
        <w:spacing w:before="60" w:after="60"/>
        <w:ind w:left="1980"/>
        <w:rPr>
          <w:rFonts w:asciiTheme="minorHAnsi" w:hAnsiTheme="minorHAnsi" w:cstheme="minorHAnsi"/>
          <w:sz w:val="20"/>
          <w:lang w:val="es-EC"/>
        </w:rPr>
      </w:pPr>
      <w:r>
        <w:rPr>
          <w:rFonts w:asciiTheme="minorHAnsi" w:hAnsiTheme="minorHAnsi" w:cstheme="minorHAnsi"/>
          <w:sz w:val="20"/>
          <w:lang w:val="es-EC"/>
        </w:rPr>
        <w:t>que se complete alguna porción y se entregue de acuerdo con las condiciones y precios del Contrato; y/o</w:t>
      </w:r>
    </w:p>
    <w:p>
      <w:pPr>
        <w:pStyle w:val="73"/>
        <w:widowControl w:val="0"/>
        <w:numPr>
          <w:ilvl w:val="0"/>
          <w:numId w:val="170"/>
        </w:numPr>
        <w:tabs>
          <w:tab w:val="clear" w:pos="1440"/>
        </w:tabs>
        <w:spacing w:before="60" w:after="60"/>
        <w:ind w:left="1980"/>
        <w:rPr>
          <w:rFonts w:asciiTheme="minorHAnsi" w:hAnsiTheme="minorHAnsi" w:cstheme="minorHAnsi"/>
          <w:sz w:val="20"/>
          <w:lang w:val="es-EC"/>
        </w:rPr>
      </w:pPr>
      <w:r>
        <w:rPr>
          <w:rFonts w:asciiTheme="minorHAnsi" w:hAnsiTheme="minorHAnsi" w:cstheme="minorHAnsi"/>
          <w:sz w:val="20"/>
          <w:lang w:val="es-EC"/>
        </w:rPr>
        <w:t>que se cancele el balance restante y se pague al Proveedor una suma convenida por aquellos Bienes o Servicios Conexos que hubiesen sido parcialmente completados y por los materiales y repuestos adquiridos previamente por el Proveedor.</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403" w:name="_Toc478103526"/>
      <w:r>
        <w:rPr>
          <w:rFonts w:asciiTheme="minorHAnsi" w:hAnsiTheme="minorHAnsi" w:cstheme="minorHAnsi"/>
          <w:b/>
          <w:sz w:val="20"/>
          <w:szCs w:val="20"/>
          <w:lang w:val="es-EC"/>
        </w:rPr>
        <w:t>Cesión</w:t>
      </w:r>
      <w:bookmarkEnd w:id="403"/>
    </w:p>
    <w:p>
      <w:pPr>
        <w:numPr>
          <w:ilvl w:val="0"/>
          <w:numId w:val="171"/>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Ni el Comprador ni el Proveedor podrán ceder total o parcialmente las obligaciones que hubiesen contraído en virtud del Contrato, excepto con el previo consentimiento por escrito de la otra parte.</w:t>
      </w:r>
    </w:p>
    <w:p>
      <w:pPr>
        <w:keepNext/>
        <w:keepLines/>
        <w:numPr>
          <w:ilvl w:val="0"/>
          <w:numId w:val="118"/>
        </w:numPr>
        <w:spacing w:before="240" w:after="0" w:line="240" w:lineRule="auto"/>
        <w:ind w:left="540" w:hanging="540"/>
        <w:outlineLvl w:val="1"/>
        <w:rPr>
          <w:rFonts w:asciiTheme="minorHAnsi" w:hAnsiTheme="minorHAnsi" w:cstheme="minorHAnsi"/>
          <w:b/>
          <w:sz w:val="20"/>
          <w:szCs w:val="20"/>
          <w:lang w:val="es-EC"/>
        </w:rPr>
      </w:pPr>
      <w:bookmarkStart w:id="404" w:name="_Toc478103527"/>
      <w:r>
        <w:rPr>
          <w:rFonts w:asciiTheme="minorHAnsi" w:hAnsiTheme="minorHAnsi" w:cstheme="minorHAnsi"/>
          <w:b/>
          <w:sz w:val="20"/>
          <w:szCs w:val="20"/>
          <w:lang w:val="es-EC"/>
        </w:rPr>
        <w:t>Restricción a la Exportación</w:t>
      </w:r>
      <w:bookmarkEnd w:id="404"/>
    </w:p>
    <w:p>
      <w:pPr>
        <w:numPr>
          <w:ilvl w:val="0"/>
          <w:numId w:val="172"/>
        </w:numPr>
        <w:spacing w:before="60" w:after="60" w:line="240" w:lineRule="auto"/>
        <w:ind w:left="1260" w:hanging="720"/>
        <w:jc w:val="both"/>
        <w:rPr>
          <w:rFonts w:asciiTheme="minorHAnsi" w:hAnsiTheme="minorHAnsi" w:cstheme="minorHAnsi"/>
          <w:sz w:val="20"/>
          <w:szCs w:val="20"/>
          <w:lang w:val="es-EC"/>
        </w:rPr>
      </w:pPr>
      <w:r>
        <w:rPr>
          <w:rFonts w:asciiTheme="minorHAnsi" w:hAnsiTheme="minorHAnsi" w:cstheme="minorHAnsi"/>
          <w:sz w:val="20"/>
          <w:szCs w:val="20"/>
          <w:lang w:val="es-EC"/>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pPr>
        <w:spacing w:before="60" w:after="60"/>
        <w:ind w:left="1260"/>
        <w:jc w:val="both"/>
        <w:rPr>
          <w:rFonts w:asciiTheme="minorHAnsi" w:hAnsiTheme="minorHAnsi" w:cstheme="minorHAnsi"/>
          <w:sz w:val="20"/>
          <w:szCs w:val="20"/>
          <w:lang w:val="es-EC"/>
        </w:rPr>
        <w:sectPr>
          <w:headerReference r:id="rId14" w:type="default"/>
          <w:pgSz w:w="12240" w:h="15840"/>
          <w:pgMar w:top="1440" w:right="1440" w:bottom="1440" w:left="1440" w:header="720" w:footer="720" w:gutter="0"/>
          <w:cols w:space="720" w:num="1"/>
          <w:docGrid w:linePitch="360" w:charSpace="0"/>
        </w:sectPr>
      </w:pPr>
    </w:p>
    <w:p>
      <w:pPr>
        <w:pStyle w:val="3"/>
        <w:jc w:val="center"/>
        <w:rPr>
          <w:rFonts w:asciiTheme="minorHAnsi" w:hAnsiTheme="minorHAnsi" w:cstheme="minorHAnsi"/>
          <w:color w:val="auto"/>
          <w:sz w:val="20"/>
          <w:szCs w:val="20"/>
          <w:lang w:val="es-EC"/>
        </w:rPr>
      </w:pPr>
      <w:bookmarkStart w:id="405" w:name="_Toc478103528"/>
      <w:bookmarkStart w:id="406" w:name="_Toc317173059"/>
      <w:bookmarkStart w:id="407" w:name="_Toc438954452"/>
      <w:bookmarkStart w:id="408" w:name="_Toc106180642"/>
      <w:bookmarkStart w:id="409" w:name="_Toc488411761"/>
      <w:r>
        <w:rPr>
          <w:rFonts w:asciiTheme="minorHAnsi" w:hAnsiTheme="minorHAnsi" w:cstheme="minorHAnsi"/>
          <w:color w:val="auto"/>
          <w:sz w:val="20"/>
          <w:szCs w:val="20"/>
          <w:lang w:val="es-EC"/>
        </w:rPr>
        <w:t>Sección IX.  Condiciones Especiales del Contrato</w:t>
      </w:r>
      <w:bookmarkEnd w:id="405"/>
      <w:bookmarkEnd w:id="406"/>
      <w:bookmarkEnd w:id="407"/>
      <w:bookmarkEnd w:id="408"/>
      <w:bookmarkEnd w:id="409"/>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Las siguientes Condiciones Especiales del Contrato (CEC) complementarán y/o enmendarán las Condiciones Generales del Contrato (CGC). En caso de haber conflicto, las provisiones aquí dispuestas prevalecerán sobre las de las CGC</w:t>
      </w:r>
      <w:r>
        <w:rPr>
          <w:rFonts w:asciiTheme="minorHAnsi" w:hAnsiTheme="minorHAnsi" w:cstheme="minorHAnsi"/>
          <w:i/>
          <w:iCs/>
          <w:sz w:val="20"/>
          <w:szCs w:val="20"/>
          <w:lang w:val="es-EC"/>
        </w:rPr>
        <w:t>.</w:t>
      </w:r>
    </w:p>
    <w:p>
      <w:pPr>
        <w:spacing w:before="60" w:after="60" w:line="240" w:lineRule="auto"/>
        <w:jc w:val="both"/>
        <w:rPr>
          <w:rFonts w:asciiTheme="minorHAnsi" w:hAnsiTheme="minorHAnsi" w:cstheme="minorHAnsi"/>
          <w:sz w:val="20"/>
          <w:szCs w:val="20"/>
          <w:lang w:val="es-EC"/>
        </w:rPr>
      </w:pPr>
    </w:p>
    <w:tbl>
      <w:tblPr>
        <w:tblStyle w:val="46"/>
        <w:tblW w:w="91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8"/>
        <w:gridCol w:w="73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Borders>
              <w:top w:val="single" w:color="auto" w:sz="12" w:space="0"/>
              <w:bottom w:val="single" w:color="auto" w:sz="6" w:space="0"/>
            </w:tcBorders>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1.1(j)</w:t>
            </w:r>
          </w:p>
        </w:tc>
        <w:tc>
          <w:tcPr>
            <w:tcW w:w="7380" w:type="dxa"/>
            <w:tcBorders>
              <w:top w:val="single" w:color="auto" w:sz="12" w:space="0"/>
              <w:bottom w:val="single" w:color="auto" w:sz="6" w:space="0"/>
            </w:tcBorders>
          </w:tcPr>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El país del Comprador es: La República del Ecuador a través del Ministerio de Salud Pública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Borders>
              <w:top w:val="nil"/>
            </w:tcBorders>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1.1(k)</w:t>
            </w:r>
          </w:p>
        </w:tc>
        <w:tc>
          <w:tcPr>
            <w:tcW w:w="7380" w:type="dxa"/>
            <w:tcBorders>
              <w:top w:val="nil"/>
            </w:tcBorders>
          </w:tcPr>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El comprador es: Ministerio de Salud Pública.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1.1 (q)</w:t>
            </w:r>
          </w:p>
        </w:tc>
        <w:tc>
          <w:tcPr>
            <w:tcW w:w="7380" w:type="dxa"/>
          </w:tcPr>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El (Los) Destino(s) final(es) del (de los) Sitio(s) del (de los) Proyecto(s) es/son: Las unidades de salud priorizadas por el Proyecto BID, c</w:t>
            </w:r>
            <w:r>
              <w:rPr>
                <w:rFonts w:asciiTheme="minorHAnsi" w:hAnsiTheme="minorHAnsi" w:cstheme="minorHAnsi"/>
                <w:i/>
                <w:iCs/>
                <w:sz w:val="20"/>
                <w:szCs w:val="20"/>
                <w:lang w:val="es-EC"/>
              </w:rPr>
              <w:t>uyos datos se consignan en la Parte II. Sección VII. Requisitos de Bienes y Servicios Cuadro 1: Lugar de Destino Convenido de este Pliego.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CGC 4.2 (a)</w:t>
            </w:r>
          </w:p>
        </w:tc>
        <w:tc>
          <w:tcPr>
            <w:tcW w:w="7380" w:type="dxa"/>
          </w:tcPr>
          <w:p>
            <w:pPr>
              <w:tabs>
                <w:tab w:val="right" w:pos="7164"/>
              </w:tabs>
              <w:spacing w:before="60" w:after="60" w:line="240" w:lineRule="auto"/>
              <w:jc w:val="both"/>
              <w:rPr>
                <w:rFonts w:asciiTheme="minorHAnsi" w:hAnsiTheme="minorHAnsi" w:cstheme="minorHAnsi"/>
                <w:sz w:val="20"/>
                <w:szCs w:val="20"/>
                <w:u w:val="single"/>
                <w:lang w:val="es-EC"/>
              </w:rPr>
            </w:pPr>
            <w:r>
              <w:rPr>
                <w:rFonts w:asciiTheme="minorHAnsi" w:hAnsiTheme="minorHAnsi" w:cstheme="minorHAnsi"/>
                <w:sz w:val="20"/>
                <w:szCs w:val="20"/>
                <w:lang w:val="es-EC"/>
              </w:rPr>
              <w:t>El significado de los términos comerciales será el establecido en los Incoterms 2010: INCOTERM CIP (transporte y seguro pagados hasta el lugar de destino convenido).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4.2 (b)</w:t>
            </w:r>
          </w:p>
        </w:tc>
        <w:tc>
          <w:tcPr>
            <w:tcW w:w="7380" w:type="dxa"/>
          </w:tcPr>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La versión de la edición de los Incoterms será: </w:t>
            </w:r>
            <w:r>
              <w:rPr>
                <w:rFonts w:asciiTheme="minorHAnsi" w:hAnsiTheme="minorHAnsi" w:cstheme="minorHAnsi"/>
                <w:i/>
                <w:iCs/>
                <w:sz w:val="20"/>
                <w:szCs w:val="20"/>
                <w:lang w:val="es-EC"/>
              </w:rPr>
              <w:t>2010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5.1</w:t>
            </w:r>
          </w:p>
        </w:tc>
        <w:tc>
          <w:tcPr>
            <w:tcW w:w="7380" w:type="dxa"/>
          </w:tcPr>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El idioma será: </w:t>
            </w:r>
            <w:r>
              <w:rPr>
                <w:rFonts w:asciiTheme="minorHAnsi" w:hAnsiTheme="minorHAnsi" w:cstheme="minorHAnsi"/>
                <w:i/>
                <w:iCs/>
                <w:sz w:val="20"/>
                <w:szCs w:val="20"/>
                <w:lang w:val="es-EC"/>
              </w:rPr>
              <w:t>Español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8.1</w:t>
            </w:r>
          </w:p>
        </w:tc>
        <w:tc>
          <w:tcPr>
            <w:tcW w:w="7380" w:type="dxa"/>
          </w:tcPr>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Para </w:t>
            </w:r>
            <w:r>
              <w:rPr>
                <w:rFonts w:asciiTheme="minorHAnsi" w:hAnsiTheme="minorHAnsi" w:cstheme="minorHAnsi"/>
                <w:sz w:val="20"/>
                <w:szCs w:val="20"/>
                <w:u w:val="single"/>
                <w:lang w:val="es-EC"/>
              </w:rPr>
              <w:t>notificaciones</w:t>
            </w:r>
            <w:r>
              <w:rPr>
                <w:rFonts w:asciiTheme="minorHAnsi" w:hAnsiTheme="minorHAnsi" w:cstheme="minorHAnsi"/>
                <w:sz w:val="20"/>
                <w:szCs w:val="20"/>
                <w:lang w:val="es-EC"/>
              </w:rPr>
              <w:t>, la dirección del Comprador será:</w:t>
            </w:r>
          </w:p>
          <w:p>
            <w:pPr>
              <w:tabs>
                <w:tab w:val="right" w:pos="7164"/>
              </w:tabs>
              <w:spacing w:after="0" w:line="360" w:lineRule="auto"/>
              <w:rPr>
                <w:rFonts w:asciiTheme="minorHAnsi" w:hAnsiTheme="minorHAnsi" w:cstheme="minorHAnsi"/>
                <w:sz w:val="20"/>
                <w:szCs w:val="20"/>
                <w:lang w:val="es-EC"/>
              </w:rPr>
            </w:pPr>
            <w:r>
              <w:rPr>
                <w:rFonts w:asciiTheme="minorHAnsi" w:hAnsiTheme="minorHAnsi" w:cstheme="minorHAnsi"/>
                <w:sz w:val="20"/>
                <w:szCs w:val="20"/>
                <w:lang w:val="es-EC"/>
              </w:rPr>
              <w:t>Atención: _____________________</w:t>
            </w:r>
            <w:r>
              <w:rPr>
                <w:rFonts w:asciiTheme="minorHAnsi" w:hAnsiTheme="minorHAnsi" w:cstheme="minorHAnsi"/>
                <w:iCs/>
                <w:sz w:val="20"/>
                <w:szCs w:val="20"/>
                <w:lang w:val="es-EC"/>
              </w:rPr>
              <w:t>, Administrador del Contrato No. _____</w:t>
            </w:r>
          </w:p>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CC: Proyecto BID-MSP</w:t>
            </w:r>
          </w:p>
          <w:p>
            <w:pPr>
              <w:keepNext/>
              <w:keepLines/>
              <w:spacing w:before="120" w:after="120"/>
              <w:jc w:val="both"/>
              <w:rPr>
                <w:rFonts w:asciiTheme="minorHAnsi" w:hAnsiTheme="minorHAnsi" w:cstheme="minorHAnsi"/>
                <w:sz w:val="20"/>
                <w:szCs w:val="20"/>
                <w:lang w:val="es-EC"/>
              </w:rPr>
            </w:pPr>
            <w:r>
              <w:rPr>
                <w:rFonts w:asciiTheme="minorHAnsi" w:hAnsiTheme="minorHAnsi" w:cstheme="minorHAnsi"/>
                <w:sz w:val="20"/>
                <w:szCs w:val="20"/>
                <w:lang w:val="es-EC"/>
              </w:rPr>
              <w:t>Dirección: Plataforma Gubernamental de Desarrollo Social, Av. Quitumbe Ñan, junto a la Plaza Cívica Quitumbe</w:t>
            </w:r>
            <w:r>
              <w:rPr>
                <w:rFonts w:asciiTheme="minorHAnsi" w:hAnsiTheme="minorHAnsi" w:cstheme="minorHAnsi"/>
                <w:color w:val="92D050"/>
                <w:sz w:val="20"/>
                <w:szCs w:val="20"/>
                <w:shd w:val="clear" w:color="auto" w:fill="FFFFFF"/>
                <w:lang w:val="es-EC"/>
              </w:rPr>
              <w:t xml:space="preserve"> </w:t>
            </w:r>
            <w:r>
              <w:rPr>
                <w:rFonts w:asciiTheme="minorHAnsi" w:hAnsiTheme="minorHAnsi" w:cstheme="minorHAnsi"/>
                <w:sz w:val="20"/>
                <w:szCs w:val="20"/>
                <w:shd w:val="clear" w:color="auto" w:fill="FFFFFF"/>
                <w:lang w:val="es-EC"/>
              </w:rPr>
              <w:t>/ primer piso – oficina 201/ Proyecto BID – MSP / Ministerio de Salud Pública</w:t>
            </w:r>
          </w:p>
          <w:p>
            <w:pPr>
              <w:tabs>
                <w:tab w:val="right" w:pos="7164"/>
              </w:tabs>
              <w:spacing w:before="60" w:after="60" w:line="240" w:lineRule="auto"/>
              <w:rPr>
                <w:rFonts w:asciiTheme="minorHAnsi" w:hAnsiTheme="minorHAnsi" w:cstheme="minorHAnsi"/>
                <w:iCs/>
                <w:sz w:val="20"/>
                <w:szCs w:val="20"/>
                <w:lang w:val="es-EC"/>
              </w:rPr>
            </w:pPr>
            <w:r>
              <w:rPr>
                <w:rFonts w:asciiTheme="minorHAnsi" w:hAnsiTheme="minorHAnsi" w:cstheme="minorHAnsi"/>
                <w:sz w:val="20"/>
                <w:szCs w:val="20"/>
                <w:lang w:val="es-EC"/>
              </w:rPr>
              <w:t xml:space="preserve">Ciudad: </w:t>
            </w:r>
            <w:r>
              <w:rPr>
                <w:rFonts w:asciiTheme="minorHAnsi" w:hAnsiTheme="minorHAnsi" w:cstheme="minorHAnsi"/>
                <w:iCs/>
                <w:sz w:val="20"/>
                <w:szCs w:val="20"/>
                <w:lang w:val="es-EC"/>
              </w:rPr>
              <w:t>Quito</w:t>
            </w:r>
          </w:p>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iCs/>
                <w:sz w:val="20"/>
                <w:szCs w:val="20"/>
                <w:lang w:val="es-EC"/>
              </w:rPr>
              <w:t>Código Postal: 170702</w:t>
            </w:r>
          </w:p>
          <w:p>
            <w:pPr>
              <w:tabs>
                <w:tab w:val="right" w:pos="7164"/>
              </w:tabs>
              <w:spacing w:before="60" w:after="60" w:line="240" w:lineRule="auto"/>
              <w:rPr>
                <w:rFonts w:asciiTheme="minorHAnsi" w:hAnsiTheme="minorHAnsi" w:cstheme="minorHAnsi"/>
                <w:iCs/>
                <w:sz w:val="20"/>
                <w:szCs w:val="20"/>
                <w:lang w:val="es-EC"/>
              </w:rPr>
            </w:pPr>
            <w:r>
              <w:rPr>
                <w:rFonts w:asciiTheme="minorHAnsi" w:hAnsiTheme="minorHAnsi" w:cstheme="minorHAnsi"/>
                <w:sz w:val="20"/>
                <w:szCs w:val="20"/>
                <w:lang w:val="es-EC"/>
              </w:rPr>
              <w:t xml:space="preserve">País: </w:t>
            </w:r>
            <w:r>
              <w:rPr>
                <w:rFonts w:asciiTheme="minorHAnsi" w:hAnsiTheme="minorHAnsi" w:cstheme="minorHAnsi"/>
                <w:iCs/>
                <w:sz w:val="20"/>
                <w:szCs w:val="20"/>
                <w:lang w:val="es-EC"/>
              </w:rPr>
              <w:t>Ecuador</w:t>
            </w:r>
          </w:p>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Teléfono: (593) 3814400 ext. 5233</w:t>
            </w:r>
          </w:p>
          <w:p>
            <w:pPr>
              <w:pStyle w:val="66"/>
              <w:keepNext/>
              <w:keepLines/>
              <w:numPr>
                <w:ilvl w:val="0"/>
                <w:numId w:val="0"/>
              </w:numPr>
              <w:spacing w:before="120" w:after="120"/>
              <w:jc w:val="both"/>
              <w:rPr>
                <w:rFonts w:asciiTheme="minorHAnsi" w:hAnsiTheme="minorHAnsi" w:cstheme="minorHAnsi"/>
                <w:iCs/>
                <w:color w:val="92D050"/>
                <w:sz w:val="20"/>
                <w:lang w:val="es-EC"/>
              </w:rPr>
            </w:pPr>
            <w:r>
              <w:rPr>
                <w:rFonts w:asciiTheme="minorHAnsi" w:hAnsiTheme="minorHAnsi" w:cstheme="minorHAnsi"/>
                <w:sz w:val="20"/>
                <w:lang w:val="es-EC"/>
              </w:rPr>
              <w:t xml:space="preserve">Dirección de correo electrónico: proyecto.bid@mspsalud.gob.ec </w:t>
            </w:r>
            <w:r>
              <w:rPr>
                <w:rFonts w:eastAsia="Calibri" w:asciiTheme="minorHAnsi" w:hAnsiTheme="minorHAnsi" w:cstheme="minorHAnsi"/>
                <w:kern w:val="0"/>
                <w:sz w:val="20"/>
                <w:shd w:val="clear" w:color="auto" w:fill="FFFFFF"/>
                <w:lang w:val="es-EC"/>
              </w:rPr>
              <w:t>Ref. LPI-4364-001-2019</w:t>
            </w:r>
          </w:p>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Para todos los efectos de este contrato, las partes convienen en señalar su domicilio en la ciudad de Quito.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9.1</w:t>
            </w:r>
          </w:p>
        </w:tc>
        <w:tc>
          <w:tcPr>
            <w:tcW w:w="7380" w:type="dxa"/>
          </w:tcPr>
          <w:p>
            <w:pPr>
              <w:tabs>
                <w:tab w:val="right" w:pos="7164"/>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La ley que rige será la ley de: </w:t>
            </w:r>
            <w:r>
              <w:rPr>
                <w:rFonts w:asciiTheme="minorHAnsi" w:hAnsiTheme="minorHAnsi" w:cstheme="minorHAnsi"/>
                <w:iCs/>
                <w:sz w:val="20"/>
                <w:szCs w:val="20"/>
                <w:lang w:val="es-EC"/>
              </w:rPr>
              <w:t>La República del Ecuador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10.2</w:t>
            </w:r>
          </w:p>
        </w:tc>
        <w:tc>
          <w:tcPr>
            <w:tcW w:w="7380" w:type="dxa"/>
          </w:tcPr>
          <w:p>
            <w:pPr>
              <w:suppressAutoHyphen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reglamentos de los procedimientos para los procesos de arbitraje, de conformidad con la Cláusula 10.2 de las CGC, serán: </w:t>
            </w:r>
          </w:p>
          <w:p>
            <w:pPr>
              <w:suppressAutoHyphens/>
              <w:spacing w:before="60" w:after="60" w:line="240" w:lineRule="auto"/>
              <w:jc w:val="both"/>
              <w:rPr>
                <w:rFonts w:asciiTheme="minorHAnsi" w:hAnsiTheme="minorHAnsi" w:cstheme="minorHAnsi"/>
                <w:sz w:val="20"/>
                <w:szCs w:val="20"/>
                <w:lang w:val="es-EC"/>
              </w:rPr>
            </w:pPr>
          </w:p>
          <w:p>
            <w:pPr>
              <w:pStyle w:val="64"/>
              <w:numPr>
                <w:ilvl w:val="0"/>
                <w:numId w:val="173"/>
              </w:numPr>
              <w:autoSpaceDE w:val="0"/>
              <w:autoSpaceDN w:val="0"/>
              <w:adjustRightInd w:val="0"/>
              <w:spacing w:after="0" w:line="240" w:lineRule="auto"/>
              <w:jc w:val="both"/>
              <w:rPr>
                <w:rFonts w:asciiTheme="minorHAnsi" w:hAnsiTheme="minorHAnsi" w:cstheme="minorHAnsi"/>
                <w:spacing w:val="-1"/>
                <w:sz w:val="20"/>
                <w:szCs w:val="20"/>
                <w:lang w:val="es-EC"/>
              </w:rPr>
            </w:pPr>
            <w:r>
              <w:rPr>
                <w:rFonts w:asciiTheme="minorHAnsi" w:hAnsiTheme="minorHAnsi" w:cstheme="minorHAnsi"/>
                <w:b/>
                <w:spacing w:val="-1"/>
                <w:sz w:val="20"/>
                <w:szCs w:val="20"/>
                <w:lang w:val="es-EC"/>
              </w:rPr>
              <w:t>Contrato con un Proveedor extranjero</w:t>
            </w:r>
          </w:p>
          <w:p>
            <w:pPr>
              <w:autoSpaceDE w:val="0"/>
              <w:autoSpaceDN w:val="0"/>
              <w:adjustRightInd w:val="0"/>
              <w:spacing w:after="0" w:line="240" w:lineRule="auto"/>
              <w:jc w:val="both"/>
              <w:rPr>
                <w:rFonts w:asciiTheme="minorHAnsi" w:hAnsiTheme="minorHAnsi" w:cstheme="minorHAnsi"/>
                <w:spacing w:val="-1"/>
                <w:sz w:val="20"/>
                <w:szCs w:val="20"/>
                <w:lang w:val="es-EC"/>
              </w:rPr>
            </w:pPr>
          </w:p>
          <w:p>
            <w:pPr>
              <w:suppressAutoHyphens/>
              <w:spacing w:before="60" w:after="140"/>
              <w:ind w:left="-27" w:right="-18" w:firstLine="27"/>
              <w:jc w:val="both"/>
              <w:rPr>
                <w:rFonts w:asciiTheme="minorHAnsi" w:hAnsiTheme="minorHAnsi" w:cstheme="minorHAnsi"/>
                <w:spacing w:val="-1"/>
                <w:sz w:val="20"/>
                <w:szCs w:val="20"/>
                <w:lang w:val="es-EC"/>
              </w:rPr>
            </w:pPr>
            <w:r>
              <w:rPr>
                <w:rFonts w:asciiTheme="minorHAnsi" w:hAnsiTheme="minorHAnsi" w:cstheme="minorHAnsi"/>
                <w:spacing w:val="-1"/>
                <w:sz w:val="20"/>
                <w:szCs w:val="20"/>
                <w:lang w:val="es-EC"/>
              </w:rPr>
              <w:t>Cualquier disputa, controversia o reclamo generado por o en relación con este Contrato, o por incumplimiento, cesación, o anulación del mismo, deberán ser resueltos mediante arbitraje de conformidad con el Reglamento de Arbitraje vigente de la CNUDMI.</w:t>
            </w:r>
          </w:p>
          <w:p>
            <w:pPr>
              <w:pStyle w:val="64"/>
              <w:numPr>
                <w:ilvl w:val="0"/>
                <w:numId w:val="173"/>
              </w:numPr>
              <w:suppressAutoHyphens/>
              <w:spacing w:before="60" w:after="140"/>
              <w:ind w:right="-18"/>
              <w:jc w:val="both"/>
              <w:rPr>
                <w:rFonts w:asciiTheme="minorHAnsi" w:hAnsiTheme="minorHAnsi" w:cstheme="minorHAnsi"/>
                <w:b/>
                <w:spacing w:val="-1"/>
                <w:sz w:val="20"/>
                <w:szCs w:val="20"/>
                <w:lang w:val="es-EC"/>
              </w:rPr>
            </w:pPr>
            <w:r>
              <w:rPr>
                <w:rFonts w:asciiTheme="minorHAnsi" w:hAnsiTheme="minorHAnsi" w:cstheme="minorHAnsi"/>
                <w:b/>
                <w:spacing w:val="-1"/>
                <w:sz w:val="20"/>
                <w:szCs w:val="20"/>
                <w:lang w:val="es-EC"/>
              </w:rPr>
              <w:t>Contratos con proveedores ciudadanos del país del comprador</w:t>
            </w:r>
          </w:p>
          <w:p>
            <w:pPr>
              <w:suppressAutoHyphens/>
              <w:spacing w:before="60" w:after="140"/>
              <w:ind w:right="-18"/>
              <w:jc w:val="both"/>
              <w:rPr>
                <w:rFonts w:asciiTheme="minorHAnsi" w:hAnsiTheme="minorHAnsi" w:cstheme="minorHAnsi"/>
                <w:spacing w:val="-1"/>
                <w:sz w:val="20"/>
                <w:szCs w:val="20"/>
                <w:lang w:val="es-EC"/>
              </w:rPr>
            </w:pPr>
            <w:r>
              <w:rPr>
                <w:rFonts w:asciiTheme="minorHAnsi" w:hAnsiTheme="minorHAnsi" w:cstheme="minorHAnsi"/>
                <w:spacing w:val="-1"/>
                <w:sz w:val="20"/>
                <w:szCs w:val="20"/>
                <w:lang w:val="es-EC"/>
              </w:rPr>
              <w:t>En el caso de alguna controversia entre el Comprador y el Proveedor que es un ciudadano del país del Comprador, la controversia deberá ser sometida a juicio o arbitraje de acuerdo con las leyes del país Comprador</w:t>
            </w:r>
          </w:p>
          <w:p>
            <w:pPr>
              <w:autoSpaceDE w:val="0"/>
              <w:autoSpaceDN w:val="0"/>
              <w:adjustRightInd w:val="0"/>
              <w:spacing w:after="0" w:line="240" w:lineRule="auto"/>
              <w:rPr>
                <w:rFonts w:asciiTheme="minorHAnsi" w:hAnsiTheme="minorHAnsi" w:cstheme="minorHAnsi"/>
                <w:spacing w:val="-1"/>
                <w:sz w:val="20"/>
                <w:szCs w:val="20"/>
                <w:lang w:val="es-EC"/>
              </w:rPr>
            </w:pPr>
            <w:r>
              <w:rPr>
                <w:rFonts w:asciiTheme="minorHAnsi" w:hAnsiTheme="minorHAnsi" w:cstheme="minorHAnsi"/>
                <w:spacing w:val="-1"/>
                <w:sz w:val="20"/>
                <w:szCs w:val="20"/>
                <w:lang w:val="es-EC"/>
              </w:rPr>
              <w:t>El Banco Interamericano de Desarrollo no debe ser designado como conciliador, ni se le debe solicitar que designe a un conciliador.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13.1</w:t>
            </w:r>
          </w:p>
        </w:tc>
        <w:tc>
          <w:tcPr>
            <w:tcW w:w="7380" w:type="dxa"/>
          </w:tcPr>
          <w:p>
            <w:pPr>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Entrega y Documentos</w:t>
            </w:r>
          </w:p>
          <w:p>
            <w:pPr>
              <w:spacing w:before="60" w:after="60" w:line="240" w:lineRule="auto"/>
              <w:jc w:val="both"/>
              <w:rPr>
                <w:rFonts w:asciiTheme="minorHAnsi" w:hAnsiTheme="minorHAnsi" w:cstheme="minorHAnsi"/>
                <w:sz w:val="20"/>
                <w:szCs w:val="20"/>
                <w:lang w:val="es-EC"/>
              </w:rPr>
            </w:pP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Detalle de los documentos de Embarque y otros documentos que deben ser proporcionados por el Proveedor: </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Entrega y Documentos</w:t>
            </w:r>
          </w:p>
          <w:p>
            <w:pPr>
              <w:spacing w:before="60" w:after="60" w:line="240" w:lineRule="auto"/>
              <w:jc w:val="both"/>
              <w:rPr>
                <w:rFonts w:asciiTheme="minorHAnsi" w:hAnsiTheme="minorHAnsi" w:cstheme="minorHAnsi"/>
                <w:sz w:val="20"/>
                <w:szCs w:val="20"/>
                <w:lang w:val="es-EC"/>
              </w:rPr>
            </w:pP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En el caso de bienes suministrados desde el extranjero:</w:t>
            </w:r>
          </w:p>
          <w:p>
            <w:pPr>
              <w:spacing w:before="60" w:after="60" w:line="240" w:lineRule="auto"/>
              <w:jc w:val="both"/>
              <w:rPr>
                <w:rFonts w:asciiTheme="minorHAnsi" w:hAnsiTheme="minorHAnsi" w:cstheme="minorHAnsi"/>
                <w:sz w:val="20"/>
                <w:szCs w:val="20"/>
                <w:lang w:val="es-EC"/>
              </w:rPr>
            </w:pP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Una vez realizado el embarque, el Proveedor notificará por escrito al Comprador y a la compañía de seguros todos los detalles del embarque, que comprenderán el número del Contrato, una descripción de los bienes, las cantidades, la fecha y lugar del embarque, la modalidad de transporte, la fecha estimada de entrega y la fecha estimada de llegada al lugar de destino convenido.</w:t>
            </w:r>
          </w:p>
          <w:p>
            <w:pPr>
              <w:spacing w:before="60" w:after="60" w:line="240" w:lineRule="auto"/>
              <w:jc w:val="both"/>
              <w:rPr>
                <w:rFonts w:asciiTheme="minorHAnsi" w:hAnsiTheme="minorHAnsi" w:cstheme="minorHAnsi"/>
                <w:sz w:val="20"/>
                <w:szCs w:val="20"/>
                <w:lang w:val="es-EC"/>
              </w:rPr>
            </w:pP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El Proveedor enviará al Comprador por correo electrónico, documentos escaneados ; y, por servicio especial de correo los siguientes documentos, con copia a la compañía de seguros:</w:t>
            </w:r>
          </w:p>
          <w:p>
            <w:pPr>
              <w:spacing w:before="60" w:after="60" w:line="240" w:lineRule="auto"/>
              <w:jc w:val="both"/>
              <w:rPr>
                <w:rFonts w:asciiTheme="minorHAnsi" w:hAnsiTheme="minorHAnsi" w:cstheme="minorHAnsi"/>
                <w:sz w:val="20"/>
                <w:szCs w:val="20"/>
                <w:lang w:val="es-EC"/>
              </w:rPr>
            </w:pP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i) tres originales y dos copias de la factura del Proveedor en que se describa al Comprador como: MINISTERIO DE SALUD PÚBLICA DE LA REPÚBLICA DEL ECUADOR y se indique el número del contrato, el número del préstamo, y la descripción, cantidad, precio unitario y monto total de los bienes. Los originales de las facturas deberán estar firmados y timbrados o sellados con el timbre o sello de la empresa;</w:t>
            </w:r>
          </w:p>
          <w:p>
            <w:pPr>
              <w:spacing w:before="60" w:after="60" w:line="240" w:lineRule="auto"/>
              <w:jc w:val="both"/>
              <w:rPr>
                <w:rFonts w:asciiTheme="minorHAnsi" w:hAnsiTheme="minorHAnsi" w:cstheme="minorHAnsi"/>
                <w:sz w:val="20"/>
                <w:szCs w:val="20"/>
                <w:lang w:val="es-EC"/>
              </w:rPr>
            </w:pP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I. tres originales para imprimir en destino y una copia del conocimiento de embarque negociable o título de transporte equivalente, limpio a bordo, con la indicación “flete pagado” y en que se describa al Comprador como MINISTERIO DE SALUD PUBLICA DE LA REPÚBLICA DEL ECUADOR y se indique a la parte que se ha de notificar tal como aparece en el Contrato, con entrega en el destino final de conformidad con la Lista de bienes y servicios y plan de entregas, y dos copias del conocimiento de embarque no negociable, o tres copias de la carta de porte ferroviario, o por carretera, o del documento de transporte multimodal, con la  indicación “flete pagado” y con entrega en el destino final de conformidad con la Lista de bienes y servicios y plan de entregas;</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II. Un original y cuatro copias de la lista de embarque, con indicación del contenido de cada bulto;</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III. Copia del certificado de seguro, en que el Comprador aparezca como beneficiario;</w:t>
            </w: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IV. Un original del certificado de garantía del fabricante o Proveedor, que cubra a todos los artículos suministrados;</w:t>
            </w:r>
          </w:p>
          <w:p>
            <w:pPr>
              <w:suppressAutoHyphen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El Comprador deberá recibir los documentos arriba mencionados antes de la llegada de los Bienes; si no recibe dichos documentos, todos los gastos consecuentes correrán por cuenta del Proveedor.</w:t>
            </w:r>
          </w:p>
          <w:p>
            <w:pPr>
              <w:suppressAutoHyphen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En caso de que el proveedor presente documentos de embarque y otros a nombre de algún integrante del Consorcio esto no traerá dificultad exceptuando la factura que deberá ser emitida por el representante del Consorcio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15.1</w:t>
            </w:r>
          </w:p>
        </w:tc>
        <w:tc>
          <w:tcPr>
            <w:tcW w:w="7380" w:type="dxa"/>
          </w:tcPr>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Los precios de los Bienes suministrados y servicios conexos prestados </w:t>
            </w:r>
            <w:r>
              <w:rPr>
                <w:rFonts w:asciiTheme="minorHAnsi" w:hAnsiTheme="minorHAnsi" w:cstheme="minorHAnsi"/>
                <w:b/>
                <w:sz w:val="20"/>
                <w:szCs w:val="20"/>
                <w:lang w:val="es-EC"/>
              </w:rPr>
              <w:t>no serán ajustables</w:t>
            </w:r>
            <w:r>
              <w:rPr>
                <w:rFonts w:asciiTheme="minorHAnsi" w:hAnsiTheme="minorHAnsi" w:cstheme="minorHAnsi"/>
                <w:sz w:val="20"/>
                <w:szCs w:val="20"/>
                <w:lang w:val="es-EC"/>
              </w:rPr>
              <w:t>.</w:t>
            </w:r>
          </w:p>
          <w:p>
            <w:pPr>
              <w:tabs>
                <w:tab w:val="right" w:pos="7164"/>
              </w:tabs>
              <w:spacing w:before="60" w:after="60" w:line="240" w:lineRule="auto"/>
              <w:jc w:val="both"/>
              <w:rPr>
                <w:rFonts w:asciiTheme="minorHAnsi" w:hAnsiTheme="minorHAnsi" w:cstheme="minorHAnsi"/>
                <w:sz w:val="20"/>
                <w:szCs w:val="20"/>
                <w:u w:val="single"/>
                <w:lang w:val="es-EC"/>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16.1</w:t>
            </w:r>
          </w:p>
        </w:tc>
        <w:tc>
          <w:tcPr>
            <w:tcW w:w="7380" w:type="dxa"/>
          </w:tcPr>
          <w:p>
            <w:pPr>
              <w:rPr>
                <w:rFonts w:asciiTheme="minorHAnsi" w:hAnsiTheme="minorHAnsi" w:cstheme="minorHAnsi"/>
                <w:sz w:val="20"/>
                <w:szCs w:val="20"/>
                <w:lang w:val="es-EC"/>
              </w:rPr>
            </w:pPr>
            <w:r>
              <w:rPr>
                <w:rFonts w:asciiTheme="minorHAnsi" w:hAnsiTheme="minorHAnsi" w:cstheme="minorHAnsi"/>
                <w:b/>
                <w:sz w:val="20"/>
                <w:szCs w:val="20"/>
                <w:lang w:val="es-EC"/>
              </w:rPr>
              <w:t>Condiciones de Pago</w:t>
            </w:r>
          </w:p>
          <w:p>
            <w:pPr>
              <w:rPr>
                <w:rFonts w:asciiTheme="minorHAnsi" w:hAnsiTheme="minorHAnsi" w:cstheme="minorHAnsi"/>
                <w:sz w:val="20"/>
                <w:szCs w:val="20"/>
                <w:lang w:val="es-EC"/>
              </w:rPr>
            </w:pPr>
            <w:r>
              <w:rPr>
                <w:rFonts w:asciiTheme="minorHAnsi" w:hAnsiTheme="minorHAnsi" w:cstheme="minorHAnsi"/>
                <w:sz w:val="20"/>
                <w:szCs w:val="20"/>
                <w:lang w:val="es-EC"/>
              </w:rPr>
              <w:t>El pago se efectuará en DÓLARES DE LOS ESTADOS UNIDOS DE AMÉRICA:</w:t>
            </w:r>
          </w:p>
          <w:p>
            <w:pPr>
              <w:suppressAutoHyphens/>
              <w:spacing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i) </w:t>
            </w:r>
            <w:r>
              <w:rPr>
                <w:rFonts w:asciiTheme="minorHAnsi" w:hAnsiTheme="minorHAnsi" w:cstheme="minorHAnsi"/>
                <w:b/>
                <w:sz w:val="20"/>
                <w:szCs w:val="20"/>
                <w:lang w:val="es-EC"/>
              </w:rPr>
              <w:t>Anticipo</w:t>
            </w:r>
            <w:r>
              <w:rPr>
                <w:rFonts w:asciiTheme="minorHAnsi" w:hAnsiTheme="minorHAnsi" w:cstheme="minorHAnsi"/>
                <w:sz w:val="20"/>
                <w:szCs w:val="20"/>
                <w:lang w:val="es-EC"/>
              </w:rPr>
              <w:t>: El sesenta por ciento (60%) del Precio del Contrato se pagará contra presentación de una garantía bancaria, por un monto equivalente al 100% del valor total entregado en calidad de anticipo. Dicha garantía se mantendrá vigente hasta que los bienes hayan sido entregados, instalados y funcionando, con las pruebas de instalación, tal como lo indican los documentos de licitación y será devuelta al proveedor una vez que se haya amortizado el 100% del monto entregado por este concepto.</w:t>
            </w:r>
          </w:p>
          <w:p>
            <w:pPr>
              <w:numPr>
                <w:ilvl w:val="12"/>
                <w:numId w:val="174"/>
              </w:numPr>
              <w:suppressAutoHyphens/>
              <w:spacing w:after="120"/>
              <w:ind w:left="399" w:hanging="399"/>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 </w:t>
            </w:r>
            <w:r>
              <w:rPr>
                <w:rFonts w:asciiTheme="minorHAnsi" w:hAnsiTheme="minorHAnsi" w:cstheme="minorHAnsi"/>
                <w:bCs/>
                <w:sz w:val="20"/>
                <w:szCs w:val="20"/>
                <w:lang w:val="es-EC"/>
              </w:rPr>
              <w:t>Garantía de buen uso del anticipo aceptable al Contratante deberá ser:</w:t>
            </w:r>
          </w:p>
          <w:p>
            <w:pPr>
              <w:numPr>
                <w:ilvl w:val="0"/>
                <w:numId w:val="175"/>
              </w:numPr>
              <w:spacing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Estas garantías no admitirán cláusula alguna que establezca trámite administrativo previo, bastando para su ejecución el requerimiento por escrito del COMPRADOR. Cualquier cláusula en contrario, se entenderá como no escrita. </w:t>
            </w:r>
          </w:p>
          <w:p>
            <w:pPr>
              <w:numPr>
                <w:ilvl w:val="0"/>
                <w:numId w:val="175"/>
              </w:numPr>
              <w:spacing w:after="120"/>
              <w:jc w:val="both"/>
              <w:rPr>
                <w:rFonts w:asciiTheme="minorHAnsi" w:hAnsiTheme="minorHAnsi" w:cstheme="minorHAnsi"/>
                <w:sz w:val="20"/>
                <w:szCs w:val="20"/>
                <w:lang w:val="es-EC"/>
              </w:rPr>
            </w:pPr>
            <w:r>
              <w:rPr>
                <w:rFonts w:asciiTheme="minorHAnsi" w:hAnsiTheme="minorHAnsi" w:cstheme="minorHAnsi"/>
                <w:sz w:val="20"/>
                <w:szCs w:val="20"/>
                <w:lang w:val="es-EC"/>
              </w:rPr>
              <w:t>La garantía por anticipo podrá ser ejecutada por el COMPRADOR, si el PROVEEDOR no la renovare cinco (5) días antes de su vencimiento; o en caso de terminación unilateral del contrato, si el PROVEEDOR no paga al COMPRADOR el saldo adeudado del anticipo, después de 10 días notificado con la liquidación del contrato.</w:t>
            </w:r>
          </w:p>
          <w:p>
            <w:pPr>
              <w:numPr>
                <w:ilvl w:val="0"/>
                <w:numId w:val="175"/>
              </w:numPr>
              <w:spacing w:after="120"/>
              <w:jc w:val="both"/>
              <w:rPr>
                <w:rFonts w:asciiTheme="minorHAnsi" w:hAnsiTheme="minorHAnsi" w:cstheme="minorHAnsi"/>
                <w:sz w:val="20"/>
                <w:szCs w:val="20"/>
                <w:lang w:val="es-EC"/>
              </w:rPr>
            </w:pPr>
            <w:r>
              <w:rPr>
                <w:rFonts w:asciiTheme="minorHAnsi" w:hAnsiTheme="minorHAnsi" w:cstheme="minorHAnsi"/>
                <w:sz w:val="20"/>
                <w:szCs w:val="20"/>
                <w:lang w:val="es-EC"/>
              </w:rPr>
              <w:t>La Garantía de Buen Uso de Anticipo, requerida para respaldar el anticipo deberá ser emitida de conformidad con el modelo que consta en la Sección X. Formularios de contrato.</w:t>
            </w:r>
          </w:p>
          <w:p>
            <w:pPr>
              <w:numPr>
                <w:ilvl w:val="0"/>
                <w:numId w:val="175"/>
              </w:numPr>
              <w:spacing w:after="12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anticipo será devengado una vez recibido a satisfacción de los bienes, instalados y suscrita el acta de entrega recepción definitiva. </w:t>
            </w:r>
          </w:p>
          <w:p>
            <w:pPr>
              <w:numPr>
                <w:ilvl w:val="12"/>
                <w:numId w:val="0"/>
              </w:numPr>
              <w:suppressAutoHyphens/>
              <w:spacing w:before="60" w:after="14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ii) </w:t>
            </w:r>
            <w:r>
              <w:rPr>
                <w:rFonts w:asciiTheme="minorHAnsi" w:hAnsiTheme="minorHAnsi" w:cstheme="minorHAnsi"/>
                <w:b/>
                <w:sz w:val="20"/>
                <w:szCs w:val="20"/>
                <w:lang w:val="es-EC"/>
              </w:rPr>
              <w:t>Pago de los bienes</w:t>
            </w:r>
            <w:r>
              <w:rPr>
                <w:rFonts w:asciiTheme="minorHAnsi" w:hAnsiTheme="minorHAnsi" w:cstheme="minorHAnsi"/>
                <w:sz w:val="20"/>
                <w:szCs w:val="20"/>
                <w:lang w:val="es-EC"/>
              </w:rPr>
              <w:t>: Al recibir los bienes instalados y en funcionamiento en los establecimientos de salud indicados en la Sección VII. Requisitos de Bienes y Servicios Cuadro 1: Lugar de Destino Convenido: El cuarenta por ciento (40%) del precio del Contrato se pagará una vez recibidos los bienes en el lugar de destino convenido, a la suscripción del Acta Entrega-Recepción definitiva a entera satisfacción del Comprador suscrita por la Comisión conformada y presentación de la factura correspondiente.</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Nota: los instrumentos de pago disponibles por el Comprador son: transferencia interbancaria (proveedores nacionales), transferencia bancaria para lo cual se deberá adjuntar certificado bancario con los datos requeridos por el Banco Central del Ecuador (nombre de la cuenta del beneficiario, dirección completa del beneficiario, ciudad y país del beneficiario, número de cuenta o IBAN, Banco del Beneficiario, Código Swift o ABA del Banco del beneficiario, Banco intermediario, Código Swift o ABA del Banco Intermediario) para el caso de proveedores internacionales.</w:t>
            </w:r>
          </w:p>
          <w:p>
            <w:pPr>
              <w:numPr>
                <w:ilvl w:val="0"/>
                <w:numId w:val="99"/>
              </w:numPr>
              <w:tabs>
                <w:tab w:val="clear" w:pos="2160"/>
              </w:tabs>
              <w:ind w:left="257" w:hanging="257"/>
              <w:jc w:val="both"/>
              <w:rPr>
                <w:rFonts w:asciiTheme="minorHAnsi" w:hAnsiTheme="minorHAnsi" w:cstheme="minorHAnsi"/>
                <w:b/>
                <w:sz w:val="20"/>
                <w:szCs w:val="20"/>
                <w:lang w:val="es-EC"/>
              </w:rPr>
            </w:pPr>
            <w:r>
              <w:rPr>
                <w:rFonts w:asciiTheme="minorHAnsi" w:hAnsiTheme="minorHAnsi" w:cstheme="minorHAnsi"/>
                <w:b/>
                <w:sz w:val="20"/>
                <w:szCs w:val="20"/>
                <w:lang w:val="es-EC"/>
              </w:rPr>
              <w:t>Pago de mantenimientos</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El mantenimiento preventivo se pagará por cada visita programada, una vez vencida la garantía técnica del fabricante.</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El mantenimiento correctivo se realizará previa cotización del contratista, debiendo la Unidad Operativa Desconcentrada emitir la certificación presupuestaria correspondiente previo al pago.</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El pago por concepto de mantenimiento preventivo de garantía extendida en cumplimiento del principio de vigencia tecnológica, será de (USD XXX), conforme certificación plurianual Nro. xxxx de xx de xxx de 2019.</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El mantenimiento preventivo se pagará después de la realización de cada mantenimiento, conforme al cronograma de mantenimientos (anexo xx). Estos pagos se realizarán desde la entidad operativa desconcentrada, para lo cual la Entidad Operativa Desconcentrada deberá incluir en su planificación institucional anual el presupuesto respectivo en base a la certificación plurianual a la que se hace mención en el párrafo anterior.</w:t>
            </w:r>
          </w:p>
          <w:p>
            <w:pPr>
              <w:numPr>
                <w:ilvl w:val="0"/>
                <w:numId w:val="99"/>
              </w:numPr>
              <w:tabs>
                <w:tab w:val="left" w:pos="540"/>
                <w:tab w:val="clear" w:pos="2160"/>
              </w:tabs>
              <w:ind w:left="966" w:hanging="966"/>
              <w:jc w:val="both"/>
              <w:rPr>
                <w:rFonts w:asciiTheme="minorHAnsi" w:hAnsiTheme="minorHAnsi" w:cstheme="minorHAnsi"/>
                <w:b/>
                <w:sz w:val="20"/>
                <w:szCs w:val="20"/>
                <w:lang w:val="es-EC"/>
              </w:rPr>
            </w:pPr>
            <w:r>
              <w:rPr>
                <w:rFonts w:asciiTheme="minorHAnsi" w:hAnsiTheme="minorHAnsi" w:cstheme="minorHAnsi"/>
                <w:b/>
                <w:sz w:val="20"/>
                <w:szCs w:val="20"/>
                <w:lang w:val="es-EC"/>
              </w:rPr>
              <w:t>Pagos en exceso.</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Comprador se reserva el derecho de reclamar al proveedor, en cualquier tiempo, antes o después de la entrega de los bienes, sobre cualquier pago indebido por error de cálculo o por cualquier otra razón, debidamente justificada, obligándose el Proveedor a satisfacer las reclamaciones que por este motivo llegare plantear el Comprador. Caso contrario, el Comprador puede realizar retenciones de valores que el PROVEEDOR tenga a su favor. La falta de reclamación del Comprador no se considera como condonación del mismo. Se tendrá por pago indebido cualquier desembolso que se realizare sin fundamento legal o contractual; o cuando el PROVEEDOR no hubiere entregado el bien contratado, o lo hubiere cumplido solo parcialmente, sin perjuicio de la responsabilidad penal a que hubiere lugar. </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El PROVEDOR autoriza en forma expresa al COMPRADOR, a debitar de cualquier otro valor que estuviere pendiente de pago a su favor, los montos resultantes de la liquidación de multas o de cualquier otro concepto, establecido por la supervisión y/o administración del contrato, o por el Ministerio de Salud Pública, así como de aquellas sumas que en concepto de responsabilidad administrativa o civil, se hubieren establecido en su contra.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16.5</w:t>
            </w:r>
          </w:p>
        </w:tc>
        <w:tc>
          <w:tcPr>
            <w:tcW w:w="7380" w:type="dxa"/>
          </w:tcPr>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Condiciones de Pago</w:t>
            </w:r>
          </w:p>
          <w:p>
            <w:pPr>
              <w:tabs>
                <w:tab w:val="right" w:pos="7164"/>
              </w:tabs>
              <w:spacing w:before="60" w:after="60" w:line="240" w:lineRule="auto"/>
              <w:jc w:val="both"/>
              <w:rPr>
                <w:rFonts w:asciiTheme="minorHAnsi" w:hAnsiTheme="minorHAnsi" w:cstheme="minorHAnsi"/>
                <w:b/>
                <w:sz w:val="20"/>
                <w:szCs w:val="20"/>
                <w:lang w:val="es-EC"/>
              </w:rPr>
            </w:pPr>
          </w:p>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 xml:space="preserve">El plazo por el cual el COMPRADOR debe pagar interés es: </w:t>
            </w:r>
            <w:r>
              <w:rPr>
                <w:rFonts w:asciiTheme="minorHAnsi" w:hAnsiTheme="minorHAnsi" w:cstheme="minorHAnsi"/>
                <w:i/>
                <w:sz w:val="20"/>
                <w:szCs w:val="20"/>
                <w:lang w:val="es-EC"/>
              </w:rPr>
              <w:t>No Aplica.</w:t>
            </w:r>
          </w:p>
          <w:p>
            <w:pPr>
              <w:tabs>
                <w:tab w:val="right" w:pos="7164"/>
              </w:tabs>
              <w:spacing w:before="60" w:after="60" w:line="240" w:lineRule="auto"/>
              <w:jc w:val="both"/>
              <w:rPr>
                <w:rFonts w:asciiTheme="minorHAnsi" w:hAnsiTheme="minorHAnsi" w:cstheme="minorHAnsi"/>
                <w:b/>
                <w:sz w:val="20"/>
                <w:szCs w:val="20"/>
                <w:lang w:val="es-EC"/>
              </w:rPr>
            </w:pPr>
          </w:p>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 xml:space="preserve">La tasa para el pago de interés es: </w:t>
            </w:r>
            <w:r>
              <w:rPr>
                <w:rFonts w:asciiTheme="minorHAnsi" w:hAnsiTheme="minorHAnsi" w:cstheme="minorHAnsi"/>
                <w:i/>
                <w:sz w:val="20"/>
                <w:szCs w:val="20"/>
                <w:lang w:val="es-EC"/>
              </w:rPr>
              <w:t>No aplica.</w:t>
            </w:r>
          </w:p>
          <w:p>
            <w:pPr>
              <w:tabs>
                <w:tab w:val="right" w:pos="7164"/>
              </w:tabs>
              <w:spacing w:before="60" w:after="60" w:line="240" w:lineRule="auto"/>
              <w:jc w:val="both"/>
              <w:rPr>
                <w:rFonts w:asciiTheme="minorHAnsi" w:hAnsiTheme="minorHAnsi" w:cstheme="minorHAnsi"/>
                <w:spacing w:val="-2"/>
                <w:sz w:val="20"/>
                <w:szCs w:val="20"/>
                <w:lang w:val="es-EC"/>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28"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CGC 18.1</w:t>
            </w:r>
          </w:p>
        </w:tc>
        <w:tc>
          <w:tcPr>
            <w:tcW w:w="7380" w:type="dxa"/>
          </w:tcPr>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Garantía de Cumplimiento</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Se requerirá una Garantía de Cumplimiento del contrato.</w:t>
            </w:r>
          </w:p>
          <w:p>
            <w:pPr>
              <w:tabs>
                <w:tab w:val="right" w:pos="7164"/>
              </w:tabs>
              <w:spacing w:before="60" w:after="60" w:line="240" w:lineRule="auto"/>
              <w:jc w:val="both"/>
              <w:rPr>
                <w:rFonts w:asciiTheme="minorHAnsi" w:hAnsiTheme="minorHAnsi" w:cstheme="minorHAnsi"/>
                <w:b/>
                <w:sz w:val="20"/>
                <w:szCs w:val="20"/>
                <w:shd w:val="clear" w:color="auto" w:fill="FFFFFF"/>
                <w:lang w:val="es-EC"/>
              </w:rPr>
            </w:pPr>
            <w:r>
              <w:rPr>
                <w:rFonts w:asciiTheme="minorHAnsi" w:hAnsiTheme="minorHAnsi" w:cstheme="minorHAnsi"/>
                <w:sz w:val="20"/>
                <w:szCs w:val="20"/>
                <w:lang w:val="es-EC"/>
              </w:rPr>
              <w:t>El monto de la Garantía deberá ser: 5% del precio del contrato.</w:t>
            </w:r>
          </w:p>
          <w:p>
            <w:pPr>
              <w:spacing w:after="0"/>
              <w:jc w:val="both"/>
              <w:rPr>
                <w:rFonts w:asciiTheme="minorHAnsi" w:hAnsiTheme="minorHAnsi" w:cstheme="minorHAnsi"/>
                <w:b/>
                <w:sz w:val="20"/>
                <w:szCs w:val="20"/>
                <w:shd w:val="clear" w:color="auto" w:fill="FFFFFF"/>
                <w:lang w:val="es-EC"/>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876" w:hRule="atLeast"/>
        </w:trPr>
        <w:tc>
          <w:tcPr>
            <w:tcW w:w="1728"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CGC 18.3</w:t>
            </w:r>
          </w:p>
        </w:tc>
        <w:tc>
          <w:tcPr>
            <w:tcW w:w="7380" w:type="dxa"/>
          </w:tcPr>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Si se requiere una garantía de cumplimiento, está deberá presentarse en la forma de: una garantía bancaria o una fianza de cumplimiento. </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a. Garantía bancaria, incondicional irrevocable y de cobro inmediato, otorgada</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por un banco o institución financiera, establecida en el país o por intermedio</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de ellos, </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b. Fianza instrumentada en una póliza de seguros, incondicional e irrevocable, de cobro inmediato, emitida por una compañía de seguro establecida en el país.</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Estas garantías no admitirán cláusula alguna que establezca trámite administrativo previo, bastando para su ejecución el requerimiento por escrito del Comprador.</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Comprador, la institución que emite la garantía deberá tener una institución corresponsal habilitada en la República del Ecuador que permita hacer efectiva la garantía en dicho país.</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Si se requiere una garantía de cumplimiento, está deberá estar denominada en: Dólares de los Estados Unidos de América.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CGC 18.4</w:t>
            </w:r>
          </w:p>
        </w:tc>
        <w:tc>
          <w:tcPr>
            <w:tcW w:w="7380" w:type="dxa"/>
          </w:tcPr>
          <w:p>
            <w:pPr>
              <w:tabs>
                <w:tab w:val="right" w:pos="7164"/>
              </w:tabs>
              <w:spacing w:before="60" w:after="60" w:line="240" w:lineRule="auto"/>
              <w:jc w:val="both"/>
              <w:rPr>
                <w:rFonts w:asciiTheme="minorHAnsi" w:hAnsiTheme="minorHAnsi" w:cstheme="minorHAnsi"/>
                <w:sz w:val="20"/>
                <w:szCs w:val="20"/>
                <w:u w:val="single"/>
                <w:lang w:val="es-EC"/>
              </w:rPr>
            </w:pPr>
            <w:r>
              <w:rPr>
                <w:rFonts w:asciiTheme="minorHAnsi" w:hAnsiTheme="minorHAnsi" w:cstheme="minorHAnsi"/>
                <w:sz w:val="20"/>
                <w:szCs w:val="20"/>
                <w:lang w:val="es-EC"/>
              </w:rPr>
              <w:t>La devolución de la Garantía de fiel Cumplimiento del contrato se realizará una vez suscrito el acta entrega recepción definitiva o única.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CGC 23.2</w:t>
            </w:r>
          </w:p>
        </w:tc>
        <w:tc>
          <w:tcPr>
            <w:tcW w:w="7380" w:type="dxa"/>
          </w:tcPr>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Embalaje y Documentos</w:t>
            </w:r>
          </w:p>
          <w:p>
            <w:pPr>
              <w:tabs>
                <w:tab w:val="right" w:pos="7164"/>
              </w:tabs>
              <w:spacing w:before="60" w:after="60" w:line="240" w:lineRule="auto"/>
              <w:jc w:val="both"/>
              <w:rPr>
                <w:rFonts w:asciiTheme="minorHAnsi" w:hAnsiTheme="minorHAnsi" w:cstheme="minorHAnsi"/>
                <w:sz w:val="20"/>
                <w:szCs w:val="20"/>
                <w:u w:val="single"/>
                <w:lang w:val="es-EC"/>
              </w:rPr>
            </w:pPr>
            <w:r>
              <w:rPr>
                <w:rFonts w:asciiTheme="minorHAnsi" w:hAnsiTheme="minorHAnsi" w:cstheme="minorHAnsi"/>
                <w:sz w:val="20"/>
                <w:szCs w:val="20"/>
                <w:lang w:val="es-EC"/>
              </w:rPr>
              <w:t>Embalaje, de acuerdo al tipo del bien, que asegure su transporte y manipulación, debidamente identificado de acuerdo al cuadro de entregas, con toda la documentación pertinente, que incluirá catálogos en español o traducidos al español, manuales, y aquellos que sean pertinente de acuerdo al bien entregado y embalado, hasta que se coordine la instalación de los mismos en la Unidad de Salud determinadas en la Sección VII. Requisitos de Bienes y Servicios Cuadro 1: Lugar de Destino Convenido.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CGC 24.1</w:t>
            </w:r>
          </w:p>
        </w:tc>
        <w:tc>
          <w:tcPr>
            <w:tcW w:w="7380" w:type="dxa"/>
          </w:tcPr>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Seguros</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La cobertura de seguro será según se establece en los Incoterms.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728"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CGC 25.1</w:t>
            </w:r>
          </w:p>
        </w:tc>
        <w:tc>
          <w:tcPr>
            <w:tcW w:w="7380" w:type="dxa"/>
          </w:tcPr>
          <w:p>
            <w:pPr>
              <w:spacing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Transporte</w:t>
            </w:r>
          </w:p>
          <w:p>
            <w:pPr>
              <w:spacing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Proveedor está obligado bajo los términos del Contrato a transportar los Bienes al lugar de destino final dentro del país del Comprador, definido como el Sitio del Proyecto, transportarlos a dicho lugar de destino en el país del Comprador, incluyendo seguro y almacenamiento, y tal como se estipulará en el Contrato, será </w:t>
            </w:r>
            <w:r>
              <w:rPr>
                <w:rFonts w:asciiTheme="minorHAnsi" w:hAnsiTheme="minorHAnsi" w:cstheme="minorHAnsi"/>
                <w:iCs/>
                <w:sz w:val="20"/>
                <w:szCs w:val="20"/>
                <w:lang w:val="es-EC"/>
              </w:rPr>
              <w:t>dispuesto</w:t>
            </w:r>
            <w:r>
              <w:rPr>
                <w:rFonts w:asciiTheme="minorHAnsi" w:hAnsiTheme="minorHAnsi" w:cstheme="minorHAnsi"/>
                <w:sz w:val="20"/>
                <w:szCs w:val="20"/>
                <w:lang w:val="es-EC"/>
              </w:rPr>
              <w:t xml:space="preserve"> por el Proveedor, y todos </w:t>
            </w:r>
            <w:r>
              <w:rPr>
                <w:rFonts w:asciiTheme="minorHAnsi" w:hAnsiTheme="minorHAnsi" w:cstheme="minorHAnsi"/>
                <w:iCs/>
                <w:sz w:val="20"/>
                <w:szCs w:val="20"/>
                <w:lang w:val="es-EC"/>
              </w:rPr>
              <w:t>los</w:t>
            </w:r>
            <w:r>
              <w:rPr>
                <w:rFonts w:asciiTheme="minorHAnsi" w:hAnsiTheme="minorHAnsi" w:cstheme="minorHAnsi"/>
                <w:sz w:val="20"/>
                <w:szCs w:val="20"/>
                <w:lang w:val="es-EC"/>
              </w:rPr>
              <w:t xml:space="preserve"> gastos relacionados estarán incluidos en el Precio del Contrato”.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26.2</w:t>
            </w:r>
          </w:p>
        </w:tc>
        <w:tc>
          <w:tcPr>
            <w:tcW w:w="7380" w:type="dxa"/>
          </w:tcPr>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Las inspecciones y pruebas se realizarán en: de conformidad con lo establecido en la Parte III. Sección VIII Inspecciones y Pruebas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CGC 27.1</w:t>
            </w:r>
          </w:p>
        </w:tc>
        <w:tc>
          <w:tcPr>
            <w:tcW w:w="7380" w:type="dxa"/>
          </w:tcPr>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Liquidación por Daños y Perjuicios</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El valor de la liquidación por daños y perjuicios será: 1 por 1000, excepto en el evento de caso fortuito o fuerza mayor calificado por el MSP o por causas imputables a esta Entidad.</w:t>
            </w:r>
          </w:p>
          <w:p>
            <w:pPr>
              <w:jc w:val="both"/>
              <w:rPr>
                <w:rFonts w:asciiTheme="minorHAnsi" w:hAnsiTheme="minorHAnsi" w:cstheme="minorHAnsi"/>
                <w:sz w:val="20"/>
                <w:szCs w:val="20"/>
                <w:lang w:val="es-EC"/>
              </w:rPr>
            </w:pPr>
            <w:r>
              <w:rPr>
                <w:rFonts w:asciiTheme="minorHAnsi" w:hAnsiTheme="minorHAnsi" w:cstheme="minorHAnsi"/>
                <w:sz w:val="20"/>
                <w:szCs w:val="20"/>
                <w:lang w:val="es-EC"/>
              </w:rPr>
              <w:t>El monto máximo de la liquidación por daños y perjuicios a causa de la demora será: 5% del monto total del contrato. Si se llegare a este valor el Comprador podrá terminar el contrato unilateralmente, luego del análisis respectivo de acuerdo al equilibrio económico del contrato y no objeción del BID por el lote adquirido.</w:t>
            </w:r>
          </w:p>
          <w:p>
            <w:pPr>
              <w:jc w:val="both"/>
              <w:rPr>
                <w:rFonts w:asciiTheme="minorHAnsi" w:hAnsiTheme="minorHAnsi" w:cstheme="minorHAnsi"/>
                <w:sz w:val="20"/>
                <w:szCs w:val="20"/>
                <w:u w:val="single"/>
                <w:lang w:val="es-EC"/>
              </w:rPr>
            </w:pPr>
            <w:r>
              <w:rPr>
                <w:rFonts w:asciiTheme="minorHAnsi" w:hAnsiTheme="minorHAnsi" w:cstheme="minorHAnsi"/>
                <w:sz w:val="20"/>
                <w:szCs w:val="20"/>
                <w:lang w:val="es-EC"/>
              </w:rPr>
              <w:t>Las multas se impondrán por retardo en la ejecución de las obligaciones contractuales conforme al cronograma valorado, así como por incumplimiento de las demás obligaciones contractuales, las que se determinarán por cada día de retardo; las multas se calcularán sobre el porcentaje de las obligaciones que se encuentran pendientes de ejecutarse conforme a lo establecido en este contrato.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20" w:hRule="atLeast"/>
        </w:trPr>
        <w:tc>
          <w:tcPr>
            <w:tcW w:w="1728"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CGC 28.3</w:t>
            </w:r>
          </w:p>
        </w:tc>
        <w:tc>
          <w:tcPr>
            <w:tcW w:w="7380" w:type="dxa"/>
          </w:tcPr>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Garantía de los Bienes</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El período de validez de la Garantía de los Bienes será de acuerdo a lo estipulado a continuación. Para fines de la Garantía, el (los) lugar(es) de destino(s)  final(es) será(n): Las unidades de salud determinas en la Sección VII. Requisitos de Bienes y Servicios Cuadro 1: Lugar de Destino Convenido.</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 xml:space="preserve">Garantía del equipamiento biomédico </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Se encuentra establecida en cada una de las fichas técnicas, entrega de plan de mantenimiento preventivo a ser ejecutado por el fabricante o representante autorizado así como la garantía técnica extendida para mantenimiento correctivo y provisión de partes de repuesto, las cuales deberán estar disponibles en el mercado por lo menos de 10 años.</w:t>
            </w:r>
          </w:p>
          <w:p>
            <w:pPr>
              <w:tabs>
                <w:tab w:val="right" w:pos="7164"/>
              </w:tabs>
              <w:spacing w:before="60" w:after="60" w:line="240" w:lineRule="auto"/>
              <w:jc w:val="both"/>
              <w:rPr>
                <w:rFonts w:asciiTheme="minorHAnsi" w:hAnsiTheme="minorHAnsi" w:cstheme="minorHAnsi"/>
                <w:sz w:val="20"/>
                <w:szCs w:val="20"/>
                <w:lang w:val="es-EC"/>
              </w:rPr>
            </w:pPr>
          </w:p>
          <w:p>
            <w:pPr>
              <w:suppressAutoHyphens/>
              <w:spacing w:after="120"/>
              <w:jc w:val="both"/>
              <w:rPr>
                <w:rFonts w:asciiTheme="minorHAnsi" w:hAnsiTheme="minorHAnsi" w:cstheme="minorHAnsi"/>
                <w:sz w:val="20"/>
                <w:szCs w:val="20"/>
                <w:lang w:val="es-EC" w:eastAsia="es-EC"/>
              </w:rPr>
            </w:pPr>
            <w:r>
              <w:rPr>
                <w:rFonts w:asciiTheme="minorHAnsi" w:hAnsiTheme="minorHAnsi" w:cstheme="minorHAnsi"/>
                <w:b/>
                <w:sz w:val="20"/>
                <w:szCs w:val="20"/>
                <w:lang w:val="es-EC"/>
              </w:rPr>
              <w:t>(a) Garantía del fabricante:</w:t>
            </w:r>
            <w:r>
              <w:rPr>
                <w:rFonts w:asciiTheme="minorHAnsi" w:hAnsiTheme="minorHAnsi" w:cstheme="minorHAnsi"/>
                <w:sz w:val="20"/>
                <w:szCs w:val="20"/>
                <w:lang w:val="es-EC"/>
              </w:rPr>
              <w:t xml:space="preserve"> </w:t>
            </w:r>
            <w:r>
              <w:rPr>
                <w:rFonts w:asciiTheme="minorHAnsi" w:hAnsiTheme="minorHAnsi" w:cstheme="minorHAnsi"/>
                <w:sz w:val="20"/>
                <w:szCs w:val="20"/>
                <w:lang w:val="es-EC" w:eastAsia="es-EC"/>
              </w:rPr>
              <w:t>la garantía del fabricante respecto a los equipos médicos, será considerada de la siguiente manera: los dos primeros años será responsabilidad del oferente, a partir del tercero y hasta el final de su vida útil, los rubros generados (mantenimiento preventivo y correctivo) serán responsabilidad del contratante.</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El oferente deberá garantizar la funcionalidad absoluta del bien contra todo posible defecto, desperfecto, falla de fabricación. En el caso de presentarse daños atribuidos por fabricación, el oferente asumirá todos los gastos de reparación o reposición inmediata o temporal sin costo para la entidad contratante.</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Para determinar si el daño del equipo corresponde a una falla de fabricación o a su vez ésta depende de un factor externo o ambiental, el responsable del equipo biomédico del establecimiento de salud, distrito o coordinación zonal, remitirá el respectivo informe técnico. Esta garantía deberá cubrir además la reposición definitiva e inmediata del bien por uno nuevo, de iguales o mayores características, ante defectos graves de fabricación y/o vicios ocultos que pudieran encontrarse, deficiencias graves adquiridas en los trabajos de mantenimiento y en averías que sucedan por más de tres (3) veces por año durante el periodo de la garantía técnica de fábrica, siempre y cuando las mismas sean atribuibles a defectos de fabricación (por (Años acorde al tiempo solicitado en la ficha técnica DNES) años); es decir, puede ocurrir en el año 1, 2, 3, 4 o (Años acorde al tiempo solicitado en la ficha técnica DNES).</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La reposición inmediata debe cumplirse también ante ausencia definitiva de repuestos, accesorios, piezas y partes del bien que obstaculicen su normal funcionamiento durante la vigencia de garantía de fábrica.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20" w:hRule="atLeast"/>
        </w:trPr>
        <w:tc>
          <w:tcPr>
            <w:tcW w:w="1728" w:type="dxa"/>
          </w:tcPr>
          <w:p>
            <w:pPr>
              <w:spacing w:before="60" w:after="60" w:line="240" w:lineRule="auto"/>
              <w:jc w:val="both"/>
              <w:rPr>
                <w:rFonts w:asciiTheme="minorHAnsi" w:hAnsiTheme="minorHAnsi" w:cstheme="minorHAnsi"/>
                <w:sz w:val="20"/>
                <w:szCs w:val="20"/>
                <w:lang w:val="es-EC"/>
              </w:rPr>
            </w:pPr>
          </w:p>
        </w:tc>
        <w:tc>
          <w:tcPr>
            <w:tcW w:w="7380" w:type="dxa"/>
          </w:tcPr>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Esta garantía será emitida por el fabricante, representante, distribuidor ó vendedor autorizado y no podrá ser menor a la descrita en cada una de las fichas técnicas. Está garantía entrará en vigencia a partir de la firma del acta entrega - recepción. </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Dentro del período de vigencia de la garantía de fábrica, el proveedor se hará cargo de todos los gastos necesarios para reemplazar los materiales o partes defectuosas, así como de los gastos y riesgos derivados de fletes, embalajes, seguros, cargas, descargas y transporte de ida y vuelta desde su emplazamiento hasta el lugar previsto para su reparación.</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(b) Garantía técnica extendida:</w:t>
            </w:r>
            <w:r>
              <w:rPr>
                <w:rFonts w:asciiTheme="minorHAnsi" w:hAnsiTheme="minorHAnsi" w:cstheme="minorHAnsi"/>
                <w:sz w:val="20"/>
                <w:szCs w:val="20"/>
                <w:lang w:val="es-EC"/>
              </w:rPr>
              <w:t xml:space="preserve"> Servirá para garantizar el buen funcionamiento de los equipos durante la vida útil de estos, una vez finalizada la garantía del fabricante. </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Como garantía técnica extendida deberá realizar mantenimientos preventivos, y correctivos, los cuales serán facturados contra entrega de cada visita programada realizada.</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(c)</w:t>
            </w:r>
            <w:r>
              <w:rPr>
                <w:rFonts w:asciiTheme="minorHAnsi" w:hAnsiTheme="minorHAnsi" w:cstheme="minorHAnsi"/>
                <w:sz w:val="20"/>
                <w:szCs w:val="20"/>
                <w:lang w:val="es-EC"/>
              </w:rPr>
              <w:t xml:space="preserve"> En todos los casos, y sin perjuicio de las garantías otorgadas, el Proveedor garantiza al Contratante que los bienes cumplen con los requerimientos establecidos en el pliego y que proveerán la funcionalidad y desempeño especificados en el mismo.</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(d)</w:t>
            </w:r>
            <w:r>
              <w:rPr>
                <w:rFonts w:asciiTheme="minorHAnsi" w:hAnsiTheme="minorHAnsi" w:cstheme="minorHAnsi"/>
                <w:sz w:val="20"/>
                <w:szCs w:val="20"/>
                <w:lang w:val="es-EC"/>
              </w:rPr>
              <w:t xml:space="preserve"> Deberá garantizar la provisión de los repuestos, accesorios, partes y piezas necesarios para el mantenimiento preventivo periódico y correctivo.</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Es obligación del proveedor prestar el servicio de mantenimiento como parte de la aplicación de la garantía técnica de los equipos durante la vida útil de los mismos y garantizar la calidad del servicio de mantenimiento correctivo y de repuestos trabajos sobre los cuales deberá señalar expresamente el periodo de garantía correspondiente.</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Mantenimiento Preventivo Periódico</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(a)</w:t>
            </w:r>
            <w:r>
              <w:rPr>
                <w:rFonts w:asciiTheme="minorHAnsi" w:hAnsiTheme="minorHAnsi" w:cstheme="minorHAnsi"/>
                <w:sz w:val="20"/>
                <w:szCs w:val="20"/>
                <w:lang w:val="es-EC"/>
              </w:rPr>
              <w:t xml:space="preserve"> El mantenimiento preventivo de los Equipos Biomédicos será por todo el tiempo de vida útil del equipo establecido por la Entidad Contratante. Deberá comprender el soporte técnico regular o periódico, los insumos, partes, piezas y todas las acciones necesarias para garantizar el perfecto estado de funcionalidad del bien de conformidad con las recomendaciones establecidas en los manuales del fabricante en concordancia con lo establecido en la garantía de fábrica y garantía técnica, en cada uno de los Establecimientos de Salud.</w:t>
            </w:r>
          </w:p>
          <w:p>
            <w:pPr>
              <w:tabs>
                <w:tab w:val="right" w:pos="7164"/>
              </w:tabs>
              <w:spacing w:before="60" w:after="60" w:line="240" w:lineRule="auto"/>
              <w:jc w:val="both"/>
              <w:rPr>
                <w:rFonts w:asciiTheme="minorHAnsi" w:hAnsiTheme="minorHAnsi" w:cstheme="minorHAnsi"/>
                <w:sz w:val="20"/>
                <w:szCs w:val="20"/>
                <w:lang w:val="es-EC"/>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20" w:hRule="atLeast"/>
        </w:trPr>
        <w:tc>
          <w:tcPr>
            <w:tcW w:w="1728" w:type="dxa"/>
          </w:tcPr>
          <w:p>
            <w:pPr>
              <w:spacing w:before="60" w:after="60" w:line="240" w:lineRule="auto"/>
              <w:jc w:val="both"/>
              <w:rPr>
                <w:rFonts w:asciiTheme="minorHAnsi" w:hAnsiTheme="minorHAnsi" w:cstheme="minorHAnsi"/>
                <w:sz w:val="20"/>
                <w:szCs w:val="20"/>
                <w:lang w:val="es-EC"/>
              </w:rPr>
            </w:pPr>
          </w:p>
        </w:tc>
        <w:tc>
          <w:tcPr>
            <w:tcW w:w="7380" w:type="dxa"/>
          </w:tcPr>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(b)</w:t>
            </w:r>
            <w:r>
              <w:rPr>
                <w:rFonts w:asciiTheme="minorHAnsi" w:hAnsiTheme="minorHAnsi" w:cstheme="minorHAnsi"/>
                <w:sz w:val="20"/>
                <w:szCs w:val="20"/>
                <w:lang w:val="es-EC"/>
              </w:rPr>
              <w:t xml:space="preserve"> El proveedor adjudicado deberá presentar un programa de mantenimiento preventivo y una ficha de rutina de mantenimiento preventivo, indicando las actividades a realizar en cada visita de mantenimiento, y de ser el caso los repuestos a utilizar (elementos a ser cambiados), de acuerdo a la recomendación del fabricante. Al finalizar la garantía de fábrica, el proveedor deberá proporcionar al Establecimiento de Salud la programación de las siguientes visitas con su costo asociado para que este incorpore en su planificación el costo de los mantenimientos preventivos necesarios para cubrir la garantía extendida.</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(c)</w:t>
            </w:r>
            <w:r>
              <w:rPr>
                <w:rFonts w:asciiTheme="minorHAnsi" w:hAnsiTheme="minorHAnsi" w:cstheme="minorHAnsi"/>
                <w:sz w:val="20"/>
                <w:szCs w:val="20"/>
                <w:lang w:val="es-EC"/>
              </w:rPr>
              <w:t xml:space="preserve"> Los mantenimientos preventivos periódicos deberán incluir calibraciones, ajustes, lecturas de voltaje y parámetros conforme las recomendaciones del Fabricante, sin costo adicional para la entidad contratante  durante la vigencia de la garantía del fabricante.</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(d)</w:t>
            </w:r>
            <w:r>
              <w:rPr>
                <w:rFonts w:asciiTheme="minorHAnsi" w:hAnsiTheme="minorHAnsi" w:cstheme="minorHAnsi"/>
                <w:sz w:val="20"/>
                <w:szCs w:val="20"/>
                <w:lang w:val="es-EC"/>
              </w:rPr>
              <w:t xml:space="preserve"> Se deberá presentar informes detallados de las actividades de cada uno de los mantenimientos con sus respectivos valores de calibración, así como el detalle de los repuestos cambiados al Establecimiento de Salud.</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(e)</w:t>
            </w:r>
            <w:r>
              <w:rPr>
                <w:rFonts w:asciiTheme="minorHAnsi" w:hAnsiTheme="minorHAnsi" w:cstheme="minorHAnsi"/>
                <w:sz w:val="20"/>
                <w:szCs w:val="20"/>
                <w:lang w:val="es-EC"/>
              </w:rPr>
              <w:t xml:space="preserve"> El Mantenimiento Preventivo del equipo, objeto de esta contratación, se realizará mediante visitas programadas, con el objeto de mantener las condiciones de operación del equipo conforme a la recomendación del fabricante</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Mantenimiento Correctivo</w:t>
            </w:r>
          </w:p>
          <w:p>
            <w:pPr>
              <w:tabs>
                <w:tab w:val="right" w:pos="7164"/>
              </w:tabs>
              <w:spacing w:before="60" w:after="60" w:line="240" w:lineRule="auto"/>
              <w:jc w:val="both"/>
              <w:rPr>
                <w:rFonts w:asciiTheme="minorHAnsi" w:hAnsiTheme="minorHAnsi" w:cstheme="minorHAnsi"/>
                <w:b/>
                <w:sz w:val="20"/>
                <w:szCs w:val="20"/>
                <w:lang w:val="es-EC"/>
              </w:rPr>
            </w:pPr>
          </w:p>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(a)</w:t>
            </w:r>
            <w:r>
              <w:rPr>
                <w:rFonts w:asciiTheme="minorHAnsi" w:hAnsiTheme="minorHAnsi" w:cstheme="minorHAnsi"/>
                <w:sz w:val="20"/>
                <w:szCs w:val="20"/>
                <w:lang w:val="es-EC"/>
              </w:rPr>
              <w:t xml:space="preserve"> Debe comprender la reparación inmediata del bien en caso de daño o defecto de funcionamiento, la provisión e instalación de repuestos, accesorios, piezas o partes, así como la oportunidad de ejecutar todas las acciones necesarias para garantizar su funcionalidad y operatividad en cada uno de los Establecimientos de Salud.</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(b)</w:t>
            </w:r>
            <w:r>
              <w:rPr>
                <w:rFonts w:asciiTheme="minorHAnsi" w:hAnsiTheme="minorHAnsi" w:cstheme="minorHAnsi"/>
                <w:sz w:val="20"/>
                <w:szCs w:val="20"/>
                <w:lang w:val="es-EC"/>
              </w:rPr>
              <w:t>Para la aplicación del mantenimiento correctivo, el proveedor deberá realizar la inspección de los equipos y junto a un informe técnico determinar el motivo del daño, las acciones a realizar y el tiempo estimado para su reparación a las siguientes 48 horas de reportado el evento por los medios establecidos para asistencia técnica y respuesta temprana, el cual deberá ser entregado en la dirección del Establecimiento de Salud.</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(c)</w:t>
            </w:r>
            <w:r>
              <w:rPr>
                <w:rFonts w:asciiTheme="minorHAnsi" w:hAnsiTheme="minorHAnsi" w:cstheme="minorHAnsi"/>
                <w:sz w:val="20"/>
                <w:szCs w:val="20"/>
                <w:lang w:val="es-EC"/>
              </w:rPr>
              <w:t>En función del informe técnico, se determinará la reposición o reparación del bien en caso de daño o defecto de funcionamiento en el período comprendido en la garantía del fabricante, la provisión e instalación de repuestos, accesorios, piezas, partes, así como la todas las acciones necesarias para garantizar la funcionalidad y prestación del servicio público (Garantía técnica) conforme las siguientes disposiciones:</w:t>
            </w:r>
          </w:p>
          <w:p>
            <w:pPr>
              <w:tabs>
                <w:tab w:val="right" w:pos="7164"/>
              </w:tabs>
              <w:spacing w:before="60" w:after="60" w:line="240" w:lineRule="auto"/>
              <w:jc w:val="both"/>
              <w:rPr>
                <w:rFonts w:asciiTheme="minorHAnsi" w:hAnsiTheme="minorHAnsi" w:cstheme="minorHAnsi"/>
                <w:b/>
                <w:sz w:val="20"/>
                <w:szCs w:val="20"/>
                <w:lang w:val="es-EC"/>
              </w:rPr>
            </w:pPr>
          </w:p>
          <w:p>
            <w:pPr>
              <w:tabs>
                <w:tab w:val="right" w:pos="7164"/>
              </w:tabs>
              <w:spacing w:before="60" w:after="60" w:line="240" w:lineRule="auto"/>
              <w:jc w:val="both"/>
              <w:rPr>
                <w:rFonts w:asciiTheme="minorHAnsi" w:hAnsiTheme="minorHAnsi" w:cstheme="minorHAnsi"/>
                <w:b/>
                <w:sz w:val="20"/>
                <w:szCs w:val="20"/>
                <w:lang w:val="es-EC"/>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20" w:hRule="atLeast"/>
        </w:trPr>
        <w:tc>
          <w:tcPr>
            <w:tcW w:w="1728" w:type="dxa"/>
          </w:tcPr>
          <w:p>
            <w:pPr>
              <w:spacing w:before="60" w:after="60" w:line="240" w:lineRule="auto"/>
              <w:jc w:val="both"/>
              <w:rPr>
                <w:rFonts w:asciiTheme="minorHAnsi" w:hAnsiTheme="minorHAnsi" w:cstheme="minorHAnsi"/>
                <w:sz w:val="20"/>
                <w:szCs w:val="20"/>
                <w:lang w:val="es-EC"/>
              </w:rPr>
            </w:pPr>
          </w:p>
        </w:tc>
        <w:tc>
          <w:tcPr>
            <w:tcW w:w="7380" w:type="dxa"/>
          </w:tcPr>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En caso de reposición temporal.- El tiempo máximo para la reposición o la reparación del bien no podrá exceder de 3 días hábiles, posteriores a la entrega del Informe Técnico. Se podrá proceder con la reposición temporal o la compensación del equipo en el caso de que presente fallas o daños atribuibles a su desempeño propio, cuando supere los tiempos de inactividad establecidos por mantenimiento (Garantía técnica). En caso de que el equipo ingrese a los centros autorizados de servicio o lugares de reparación, el proveedor deberá disponer de bienes con similares características que será entregado al comprador para su uso temporal hasta que el bien sea reparado, de tal forma que el servicio se encuentre operativo para la prestación ininterrumpida de los servicios ciudadanos.</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En el caso que la falla fuese atribuible a una mala utilización por parte del personal del Establecimiento de Salud o caso fortuito se solicitará al proveedor el servicio de reposición, para lo cual la Entidad Contratante asumirá los costos que implica dicha reposición.</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El proveedor asumirá los costos de la reposición temporal del equipo durante los trabajos de mantenimiento que impidan su utilización cuando exceda los plazos establecidos por encima del 3% anual del tiempo destinado al mantenimiento por alta disponibilidad o cuando se presenten fallas o daños atribuibles al fabricante.</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En caso de reposición definitiva.-</w:t>
            </w:r>
            <w:r>
              <w:rPr>
                <w:rFonts w:asciiTheme="minorHAnsi" w:hAnsiTheme="minorHAnsi" w:cstheme="minorHAnsi"/>
                <w:sz w:val="20"/>
                <w:szCs w:val="20"/>
                <w:lang w:val="es-EC"/>
              </w:rPr>
              <w:t xml:space="preserve"> El proveedor realizará la reposición definitiva, cuando el o los equipos médicos deban ser remplazados durante el tiempo de Garantía de Fábrica al no poder ser reparados efectivamente con un mantenimiento correctivo, siempre y cuando las causas sean imputables a defectos de fabricación y/o vicios ocultos que pudieran encontrarse, deficiencias en los trabajos de mantenimiento, ausencia de repuestos, accesorios, piezas, partes del bien o si durante 3 (tres) veces en un año el equipo sufriera desperfectos que obstaculicen su normal funcionamiento y la continuidad en la prestación de los servicios ciudadanos, en estos casos el equipo deberá ser remplazo por uno nuevo de iguales o mayores características o especificaciones técnicas. </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La reposición de los equipos se realizará en un plazo máximo de 30 (treinta) días, computados a partir de la notificación por escrito por parte del Establecimiento de Salud.</w:t>
            </w:r>
          </w:p>
          <w:p>
            <w:pPr>
              <w:tabs>
                <w:tab w:val="right" w:pos="7164"/>
              </w:tabs>
              <w:spacing w:before="60" w:after="60" w:line="240" w:lineRule="auto"/>
              <w:jc w:val="both"/>
              <w:rPr>
                <w:rFonts w:asciiTheme="minorHAnsi" w:hAnsiTheme="minorHAnsi" w:cstheme="minorHAnsi"/>
                <w:sz w:val="20"/>
                <w:szCs w:val="20"/>
                <w:lang w:val="es-EC"/>
              </w:rPr>
            </w:pP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El costo del Servicio de Mantenimiento Correctivo que sea atribuible a la Garantía del Fabricante será asumido por el proveedor. En ese caso, el proveedor asumirá todos los gastos por el retiro de los equipos y la instalación de los equipos (viáticos, transporte, hospedaje, gastos de importación, costo de los materiales, mano de obra, costos indirectos, impuestos, tasas vigentes, entre otros en la entrega del o los equipos).</w:t>
            </w:r>
          </w:p>
          <w:p>
            <w:pPr>
              <w:tabs>
                <w:tab w:val="right" w:pos="7164"/>
              </w:tabs>
              <w:spacing w:before="60" w:after="60" w:line="240" w:lineRule="auto"/>
              <w:jc w:val="both"/>
              <w:rPr>
                <w:rFonts w:asciiTheme="minorHAnsi" w:hAnsiTheme="minorHAnsi" w:cstheme="minorHAnsi"/>
                <w:sz w:val="20"/>
                <w:szCs w:val="20"/>
                <w:lang w:val="es-EC"/>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20" w:hRule="atLeast"/>
        </w:trPr>
        <w:tc>
          <w:tcPr>
            <w:tcW w:w="1728" w:type="dxa"/>
          </w:tcPr>
          <w:p>
            <w:pPr>
              <w:spacing w:before="60" w:after="60" w:line="240" w:lineRule="auto"/>
              <w:jc w:val="both"/>
              <w:rPr>
                <w:rFonts w:asciiTheme="minorHAnsi" w:hAnsiTheme="minorHAnsi" w:cstheme="minorHAnsi"/>
                <w:sz w:val="20"/>
                <w:szCs w:val="20"/>
                <w:lang w:val="es-EC"/>
              </w:rPr>
            </w:pPr>
          </w:p>
        </w:tc>
        <w:tc>
          <w:tcPr>
            <w:tcW w:w="7380" w:type="dxa"/>
          </w:tcPr>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Dentro de la vigencia de la garantía del fabricante y garantía técnica el proveedor deberá contar con un servicio de asistencia técnica y respuesta temprana, durante los horarios de atención de los Establecimientos de Salud. Esta asistencia deberá brindarse a través de línea telefónica dedicada exclusivamente a dar respuesta a los requerimientos que se realicen, como así también por correo electrónico u otro medio que dé inicio a la gestión de asistencia requerida.</w:t>
            </w:r>
          </w:p>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Dentro de esta asistencia técnica se deberá brindar:</w:t>
            </w:r>
          </w:p>
          <w:p>
            <w:pPr>
              <w:tabs>
                <w:tab w:val="right" w:pos="7164"/>
              </w:tabs>
              <w:spacing w:before="60" w:after="60" w:line="240" w:lineRule="auto"/>
              <w:jc w:val="both"/>
              <w:rPr>
                <w:rFonts w:asciiTheme="minorHAnsi" w:hAnsiTheme="minorHAnsi" w:cstheme="minorHAnsi"/>
                <w:sz w:val="20"/>
                <w:szCs w:val="20"/>
                <w:lang w:val="es-EC"/>
              </w:rPr>
            </w:pPr>
            <w:r>
              <w:rPr>
                <w:rFonts w:asciiTheme="minorHAnsi" w:hAnsiTheme="minorHAnsi" w:cstheme="minorHAnsi"/>
                <w:b/>
                <w:sz w:val="20"/>
                <w:szCs w:val="20"/>
                <w:lang w:val="es-EC"/>
              </w:rPr>
              <w:t>(a)</w:t>
            </w:r>
            <w:r>
              <w:rPr>
                <w:rFonts w:asciiTheme="minorHAnsi" w:hAnsiTheme="minorHAnsi" w:cstheme="minorHAnsi"/>
                <w:sz w:val="20"/>
                <w:szCs w:val="20"/>
                <w:lang w:val="es-EC"/>
              </w:rPr>
              <w:t xml:space="preserve"> Asesoría permanente durante el periodo de la garantía técnica dando respuesta inmediata a cualquier consulta remota que se realice en un plazo no superior a 48 horas de haber requerido el asesoramiento.</w:t>
            </w:r>
          </w:p>
          <w:p>
            <w:pPr>
              <w:tabs>
                <w:tab w:val="right" w:pos="7164"/>
              </w:tabs>
              <w:spacing w:before="60" w:after="60" w:line="240" w:lineRule="auto"/>
              <w:jc w:val="both"/>
              <w:rPr>
                <w:rFonts w:asciiTheme="minorHAnsi" w:hAnsiTheme="minorHAnsi" w:cstheme="minorHAnsi"/>
                <w:b/>
                <w:sz w:val="20"/>
                <w:szCs w:val="20"/>
                <w:lang w:val="es-EC"/>
              </w:rPr>
            </w:pPr>
            <w:r>
              <w:rPr>
                <w:rFonts w:asciiTheme="minorHAnsi" w:hAnsiTheme="minorHAnsi" w:cstheme="minorHAnsi"/>
                <w:b/>
                <w:sz w:val="20"/>
                <w:szCs w:val="20"/>
                <w:lang w:val="es-EC"/>
              </w:rPr>
              <w:t>(b)</w:t>
            </w:r>
            <w:r>
              <w:rPr>
                <w:rFonts w:asciiTheme="minorHAnsi" w:hAnsiTheme="minorHAnsi" w:cstheme="minorHAnsi"/>
                <w:sz w:val="20"/>
                <w:szCs w:val="20"/>
                <w:lang w:val="es-EC"/>
              </w:rPr>
              <w:t xml:space="preserve"> Reemplazo de piezas averiadas en un plazo máximo de 3 días posteriores a la notificación de la avería por parte de la Unidad de Salud, dentro del horario de atención del mismo.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728" w:type="dxa"/>
          </w:tcPr>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CGC 28.5</w:t>
            </w:r>
          </w:p>
        </w:tc>
        <w:tc>
          <w:tcPr>
            <w:tcW w:w="7380" w:type="dxa"/>
          </w:tcPr>
          <w:p>
            <w:pPr>
              <w:tabs>
                <w:tab w:val="right" w:pos="7164"/>
              </w:tabs>
              <w:spacing w:before="60" w:after="60" w:line="240" w:lineRule="auto"/>
              <w:jc w:val="both"/>
              <w:rPr>
                <w:rFonts w:asciiTheme="minorHAnsi" w:hAnsiTheme="minorHAnsi" w:cstheme="minorHAnsi"/>
                <w:sz w:val="20"/>
                <w:szCs w:val="20"/>
                <w:u w:val="single"/>
                <w:lang w:val="es-EC"/>
              </w:rPr>
            </w:pPr>
            <w:r>
              <w:rPr>
                <w:rFonts w:asciiTheme="minorHAnsi" w:hAnsiTheme="minorHAnsi" w:cstheme="minorHAnsi"/>
                <w:sz w:val="20"/>
                <w:szCs w:val="20"/>
                <w:lang w:val="es-EC"/>
              </w:rPr>
              <w:t xml:space="preserve">El plazo para reparar o reemplazar los bienes será: </w:t>
            </w:r>
            <w:r>
              <w:rPr>
                <w:rFonts w:asciiTheme="minorHAnsi" w:hAnsiTheme="minorHAnsi" w:cstheme="minorHAnsi"/>
                <w:i/>
                <w:sz w:val="20"/>
                <w:szCs w:val="20"/>
                <w:lang w:val="es-EC"/>
              </w:rPr>
              <w:t xml:space="preserve">30 </w:t>
            </w:r>
            <w:r>
              <w:rPr>
                <w:rFonts w:asciiTheme="minorHAnsi" w:hAnsiTheme="minorHAnsi" w:cstheme="minorHAnsi"/>
                <w:sz w:val="20"/>
                <w:szCs w:val="20"/>
                <w:lang w:val="es-EC"/>
              </w:rPr>
              <w:t>días.</w:t>
            </w:r>
          </w:p>
        </w:tc>
      </w:tr>
    </w:tbl>
    <w:p>
      <w:pPr>
        <w:spacing w:before="60" w:after="60"/>
        <w:ind w:left="1260"/>
        <w:jc w:val="both"/>
        <w:rPr>
          <w:rFonts w:asciiTheme="minorHAnsi" w:hAnsiTheme="minorHAnsi" w:cstheme="minorHAnsi"/>
          <w:sz w:val="20"/>
          <w:szCs w:val="20"/>
          <w:lang w:val="es-EC"/>
        </w:rPr>
      </w:pPr>
    </w:p>
    <w:p>
      <w:pPr>
        <w:rPr>
          <w:rFonts w:asciiTheme="minorHAnsi" w:hAnsiTheme="minorHAnsi" w:cstheme="minorHAnsi"/>
          <w:b/>
          <w:sz w:val="20"/>
          <w:szCs w:val="20"/>
          <w:lang w:val="es-EC"/>
        </w:rPr>
      </w:pPr>
      <w:r>
        <w:rPr>
          <w:rFonts w:asciiTheme="minorHAnsi" w:hAnsiTheme="minorHAnsi" w:cstheme="minorHAnsi"/>
          <w:sz w:val="20"/>
          <w:szCs w:val="20"/>
          <w:lang w:val="es-EC"/>
        </w:rPr>
        <w:br w:type="page"/>
      </w:r>
      <w:bookmarkStart w:id="410" w:name="_Toc478103529"/>
      <w:r>
        <w:rPr>
          <w:rFonts w:asciiTheme="minorHAnsi" w:hAnsiTheme="minorHAnsi" w:cstheme="minorHAnsi"/>
          <w:b/>
          <w:sz w:val="20"/>
          <w:szCs w:val="20"/>
          <w:lang w:val="es-EC"/>
        </w:rPr>
        <w:t>Anexo 1: Fórmula de Ajuste de Precios (No aplica)</w:t>
      </w:r>
      <w:bookmarkEnd w:id="410"/>
    </w:p>
    <w:p>
      <w:pPr>
        <w:suppressAutoHyphen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Si de conformidad con la Cláusula 15.2, los precios son ajustables, el siguiente método será utilizado para calcular el ajuste de los precios:</w:t>
      </w:r>
    </w:p>
    <w:p>
      <w:pPr>
        <w:suppressAutoHyphens/>
        <w:spacing w:before="60" w:after="60" w:line="240" w:lineRule="auto"/>
        <w:ind w:left="720" w:hanging="720"/>
        <w:jc w:val="both"/>
        <w:rPr>
          <w:rFonts w:asciiTheme="minorHAnsi" w:hAnsiTheme="minorHAnsi" w:cstheme="minorHAnsi"/>
          <w:sz w:val="20"/>
          <w:szCs w:val="20"/>
          <w:lang w:val="es-EC"/>
        </w:rPr>
      </w:pPr>
      <w:r>
        <w:rPr>
          <w:rFonts w:asciiTheme="minorHAnsi" w:hAnsiTheme="minorHAnsi" w:cstheme="minorHAnsi"/>
          <w:sz w:val="20"/>
          <w:szCs w:val="20"/>
          <w:lang w:val="es-EC"/>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pPr>
        <w:suppressAutoHyphens/>
        <w:spacing w:after="0" w:line="240" w:lineRule="auto"/>
        <w:jc w:val="both"/>
        <w:rPr>
          <w:rFonts w:asciiTheme="minorHAnsi" w:hAnsiTheme="minorHAnsi" w:cstheme="minorHAnsi"/>
          <w:sz w:val="20"/>
          <w:szCs w:val="20"/>
        </w:rPr>
      </w:pPr>
      <w:r>
        <w:rPr>
          <w:rFonts w:asciiTheme="minorHAnsi" w:hAnsiTheme="minorHAnsi" w:cstheme="minorHAnsi"/>
          <w:sz w:val="20"/>
          <w:szCs w:val="20"/>
        </w:rPr>
        <w:t>P</w:t>
      </w:r>
      <w:r>
        <w:rPr>
          <w:rFonts w:asciiTheme="minorHAnsi" w:hAnsiTheme="minorHAnsi" w:cstheme="minorHAnsi"/>
          <w:sz w:val="20"/>
          <w:szCs w:val="20"/>
          <w:vertAlign w:val="subscript"/>
        </w:rPr>
        <w:t>1</w:t>
      </w:r>
      <w:r>
        <w:rPr>
          <w:rFonts w:asciiTheme="minorHAnsi" w:hAnsiTheme="minorHAnsi" w:cstheme="minorHAnsi"/>
          <w:sz w:val="20"/>
          <w:szCs w:val="20"/>
        </w:rPr>
        <w:t xml:space="preserve"> = P</w:t>
      </w:r>
      <w:r>
        <w:rPr>
          <w:rFonts w:asciiTheme="minorHAnsi" w:hAnsiTheme="minorHAnsi" w:cstheme="minorHAnsi"/>
          <w:sz w:val="20"/>
          <w:szCs w:val="20"/>
          <w:vertAlign w:val="subscript"/>
        </w:rPr>
        <w:t>0</w:t>
      </w:r>
      <w:r>
        <w:rPr>
          <w:rFonts w:asciiTheme="minorHAnsi" w:hAnsiTheme="minorHAnsi" w:cstheme="minorHAnsi"/>
          <w:sz w:val="20"/>
          <w:szCs w:val="20"/>
        </w:rPr>
        <w:t xml:space="preserve"> [a + </w:t>
      </w:r>
      <w:r>
        <w:rPr>
          <w:rFonts w:asciiTheme="minorHAnsi" w:hAnsiTheme="minorHAnsi" w:cstheme="minorHAnsi"/>
          <w:sz w:val="20"/>
          <w:szCs w:val="20"/>
          <w:u w:val="single"/>
        </w:rPr>
        <w:t>bL</w:t>
      </w:r>
      <w:r>
        <w:rPr>
          <w:rFonts w:asciiTheme="minorHAnsi" w:hAnsiTheme="minorHAnsi" w:cstheme="minorHAnsi"/>
          <w:sz w:val="20"/>
          <w:szCs w:val="20"/>
          <w:vertAlign w:val="subscript"/>
        </w:rPr>
        <w:t>1</w:t>
      </w:r>
      <w:r>
        <w:rPr>
          <w:rFonts w:asciiTheme="minorHAnsi" w:hAnsiTheme="minorHAnsi" w:cstheme="minorHAnsi"/>
          <w:sz w:val="20"/>
          <w:szCs w:val="20"/>
        </w:rPr>
        <w:t xml:space="preserve"> + </w:t>
      </w:r>
      <w:r>
        <w:rPr>
          <w:rFonts w:asciiTheme="minorHAnsi" w:hAnsiTheme="minorHAnsi" w:cstheme="minorHAnsi"/>
          <w:sz w:val="20"/>
          <w:szCs w:val="20"/>
          <w:u w:val="single"/>
        </w:rPr>
        <w:t>cM</w:t>
      </w:r>
      <w:r>
        <w:rPr>
          <w:rFonts w:asciiTheme="minorHAnsi" w:hAnsiTheme="minorHAnsi" w:cstheme="minorHAnsi"/>
          <w:sz w:val="20"/>
          <w:szCs w:val="20"/>
          <w:vertAlign w:val="subscript"/>
        </w:rPr>
        <w:t>1</w:t>
      </w:r>
      <w:r>
        <w:rPr>
          <w:rFonts w:asciiTheme="minorHAnsi" w:hAnsiTheme="minorHAnsi" w:cstheme="minorHAnsi"/>
          <w:sz w:val="20"/>
          <w:szCs w:val="20"/>
        </w:rPr>
        <w:t>] - P</w:t>
      </w:r>
      <w:r>
        <w:rPr>
          <w:rFonts w:asciiTheme="minorHAnsi" w:hAnsiTheme="minorHAnsi" w:cstheme="minorHAnsi"/>
          <w:sz w:val="20"/>
          <w:szCs w:val="20"/>
          <w:vertAlign w:val="subscript"/>
        </w:rPr>
        <w:t>0</w:t>
      </w:r>
    </w:p>
    <w:p>
      <w:pPr>
        <w:tabs>
          <w:tab w:val="left" w:pos="4410"/>
          <w:tab w:val="left" w:pos="4950"/>
        </w:tabs>
        <w:suppressAutoHyphen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L</w:t>
      </w:r>
      <w:r>
        <w:rPr>
          <w:rFonts w:asciiTheme="minorHAnsi" w:hAnsiTheme="minorHAnsi" w:cstheme="minorHAnsi"/>
          <w:sz w:val="20"/>
          <w:szCs w:val="20"/>
          <w:vertAlign w:val="subscript"/>
        </w:rPr>
        <w:t>0</w:t>
      </w:r>
      <w:r>
        <w:rPr>
          <w:rFonts w:asciiTheme="minorHAnsi" w:hAnsiTheme="minorHAnsi" w:cstheme="minorHAnsi"/>
          <w:sz w:val="20"/>
          <w:szCs w:val="20"/>
        </w:rPr>
        <w:tab/>
      </w:r>
      <w:r>
        <w:rPr>
          <w:rFonts w:asciiTheme="minorHAnsi" w:hAnsiTheme="minorHAnsi" w:cstheme="minorHAnsi"/>
          <w:sz w:val="20"/>
          <w:szCs w:val="20"/>
        </w:rPr>
        <w:t xml:space="preserve"> M</w:t>
      </w:r>
      <w:r>
        <w:rPr>
          <w:rFonts w:asciiTheme="minorHAnsi" w:hAnsiTheme="minorHAnsi" w:cstheme="minorHAnsi"/>
          <w:sz w:val="20"/>
          <w:szCs w:val="20"/>
          <w:vertAlign w:val="subscript"/>
        </w:rPr>
        <w:t>0</w:t>
      </w:r>
    </w:p>
    <w:p>
      <w:pPr>
        <w:suppressAutoHyphens/>
        <w:spacing w:before="60" w:after="60" w:line="240" w:lineRule="auto"/>
        <w:ind w:left="2131" w:hanging="2131"/>
        <w:jc w:val="center"/>
        <w:rPr>
          <w:rFonts w:asciiTheme="minorHAnsi" w:hAnsiTheme="minorHAnsi" w:cstheme="minorHAnsi"/>
          <w:sz w:val="20"/>
          <w:szCs w:val="20"/>
          <w:lang w:val="es-EC"/>
        </w:rPr>
      </w:pPr>
      <w:r>
        <w:rPr>
          <w:rFonts w:asciiTheme="minorHAnsi" w:hAnsiTheme="minorHAnsi" w:cstheme="minorHAnsi"/>
          <w:sz w:val="20"/>
          <w:szCs w:val="20"/>
          <w:lang w:val="es-EC"/>
        </w:rPr>
        <w:t>a+b+c = 1</w:t>
      </w:r>
    </w:p>
    <w:p>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Pr>
          <w:rFonts w:asciiTheme="minorHAnsi" w:hAnsiTheme="minorHAnsi" w:cstheme="minorHAnsi"/>
          <w:sz w:val="20"/>
          <w:szCs w:val="20"/>
          <w:lang w:val="es-EC"/>
        </w:rPr>
        <w:t>Dónde:</w:t>
      </w:r>
    </w:p>
    <w:p>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Pr>
          <w:rFonts w:asciiTheme="minorHAnsi" w:hAnsiTheme="minorHAnsi" w:cstheme="minorHAnsi"/>
          <w:sz w:val="20"/>
          <w:szCs w:val="20"/>
          <w:lang w:val="es-EC"/>
        </w:rPr>
        <w:t>P</w:t>
      </w:r>
      <w:r>
        <w:rPr>
          <w:rFonts w:asciiTheme="minorHAnsi" w:hAnsiTheme="minorHAnsi" w:cstheme="minorHAnsi"/>
          <w:sz w:val="20"/>
          <w:szCs w:val="20"/>
          <w:vertAlign w:val="subscript"/>
          <w:lang w:val="es-EC"/>
        </w:rPr>
        <w:t>1</w:t>
      </w:r>
      <w:r>
        <w:rPr>
          <w:rFonts w:asciiTheme="minorHAnsi" w:hAnsiTheme="minorHAnsi" w:cstheme="minorHAnsi"/>
          <w:sz w:val="20"/>
          <w:szCs w:val="20"/>
          <w:lang w:val="es-EC"/>
        </w:rPr>
        <w:tab/>
      </w:r>
      <w:r>
        <w:rPr>
          <w:rFonts w:asciiTheme="minorHAnsi" w:hAnsiTheme="minorHAnsi" w:cstheme="minorHAnsi"/>
          <w:sz w:val="20"/>
          <w:szCs w:val="20"/>
          <w:lang w:val="es-EC"/>
        </w:rPr>
        <w:t>=</w:t>
      </w:r>
      <w:r>
        <w:rPr>
          <w:rFonts w:asciiTheme="minorHAnsi" w:hAnsiTheme="minorHAnsi" w:cstheme="minorHAnsi"/>
          <w:sz w:val="20"/>
          <w:szCs w:val="20"/>
          <w:lang w:val="es-EC"/>
        </w:rPr>
        <w:tab/>
      </w:r>
      <w:r>
        <w:rPr>
          <w:rFonts w:asciiTheme="minorHAnsi" w:hAnsiTheme="minorHAnsi" w:cstheme="minorHAnsi"/>
          <w:sz w:val="20"/>
          <w:szCs w:val="20"/>
          <w:lang w:val="es-EC"/>
        </w:rPr>
        <w:t>ajuste pagadero al Proveedor</w:t>
      </w:r>
    </w:p>
    <w:p>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Pr>
          <w:rFonts w:asciiTheme="minorHAnsi" w:hAnsiTheme="minorHAnsi" w:cstheme="minorHAnsi"/>
          <w:sz w:val="20"/>
          <w:szCs w:val="20"/>
          <w:lang w:val="es-EC"/>
        </w:rPr>
        <w:t>P</w:t>
      </w:r>
      <w:r>
        <w:rPr>
          <w:rFonts w:asciiTheme="minorHAnsi" w:hAnsiTheme="minorHAnsi" w:cstheme="minorHAnsi"/>
          <w:sz w:val="20"/>
          <w:szCs w:val="20"/>
          <w:vertAlign w:val="subscript"/>
          <w:lang w:val="es-EC"/>
        </w:rPr>
        <w:t>0</w:t>
      </w:r>
      <w:r>
        <w:rPr>
          <w:rFonts w:asciiTheme="minorHAnsi" w:hAnsiTheme="minorHAnsi" w:cstheme="minorHAnsi"/>
          <w:sz w:val="20"/>
          <w:szCs w:val="20"/>
          <w:lang w:val="es-EC"/>
        </w:rPr>
        <w:tab/>
      </w:r>
      <w:r>
        <w:rPr>
          <w:rFonts w:asciiTheme="minorHAnsi" w:hAnsiTheme="minorHAnsi" w:cstheme="minorHAnsi"/>
          <w:sz w:val="20"/>
          <w:szCs w:val="20"/>
          <w:lang w:val="es-EC"/>
        </w:rPr>
        <w:t>=</w:t>
      </w:r>
      <w:r>
        <w:rPr>
          <w:rFonts w:asciiTheme="minorHAnsi" w:hAnsiTheme="minorHAnsi" w:cstheme="minorHAnsi"/>
          <w:sz w:val="20"/>
          <w:szCs w:val="20"/>
          <w:lang w:val="es-EC"/>
        </w:rPr>
        <w:tab/>
      </w:r>
      <w:r>
        <w:rPr>
          <w:rFonts w:asciiTheme="minorHAnsi" w:hAnsiTheme="minorHAnsi" w:cstheme="minorHAnsi"/>
          <w:sz w:val="20"/>
          <w:szCs w:val="20"/>
          <w:lang w:val="es-EC"/>
        </w:rPr>
        <w:t>Precio del Contrato (precio básico)</w:t>
      </w:r>
    </w:p>
    <w:p>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Pr>
          <w:rFonts w:asciiTheme="minorHAnsi" w:hAnsiTheme="minorHAnsi" w:cstheme="minorHAnsi"/>
          <w:sz w:val="20"/>
          <w:szCs w:val="20"/>
          <w:lang w:val="es-EC"/>
        </w:rPr>
        <w:t>a</w:t>
      </w:r>
      <w:r>
        <w:rPr>
          <w:rFonts w:asciiTheme="minorHAnsi" w:hAnsiTheme="minorHAnsi" w:cstheme="minorHAnsi"/>
          <w:sz w:val="20"/>
          <w:szCs w:val="20"/>
          <w:lang w:val="es-EC"/>
        </w:rPr>
        <w:tab/>
      </w:r>
      <w:r>
        <w:rPr>
          <w:rFonts w:asciiTheme="minorHAnsi" w:hAnsiTheme="minorHAnsi" w:cstheme="minorHAnsi"/>
          <w:sz w:val="20"/>
          <w:szCs w:val="20"/>
          <w:lang w:val="es-EC"/>
        </w:rPr>
        <w:t>=</w:t>
      </w:r>
      <w:r>
        <w:rPr>
          <w:rFonts w:asciiTheme="minorHAnsi" w:hAnsiTheme="minorHAnsi" w:cstheme="minorHAnsi"/>
          <w:sz w:val="20"/>
          <w:szCs w:val="20"/>
          <w:lang w:val="es-EC"/>
        </w:rPr>
        <w:tab/>
      </w:r>
      <w:r>
        <w:rPr>
          <w:rFonts w:asciiTheme="minorHAnsi" w:hAnsiTheme="minorHAnsi" w:cstheme="minorHAnsi"/>
          <w:sz w:val="20"/>
          <w:szCs w:val="20"/>
          <w:lang w:val="es-EC"/>
        </w:rPr>
        <w:t>elemento fijo que representa utilidades y gastos generales incluidos en el Precio del Contrato, que comúnmente se establece entre el cinco por ciento (5%) y el quince por ciento (15%).</w:t>
      </w:r>
    </w:p>
    <w:p>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Pr>
          <w:rFonts w:asciiTheme="minorHAnsi" w:hAnsiTheme="minorHAnsi" w:cstheme="minorHAnsi"/>
          <w:sz w:val="20"/>
          <w:szCs w:val="20"/>
          <w:lang w:val="es-EC"/>
        </w:rPr>
        <w:t>b</w:t>
      </w:r>
      <w:r>
        <w:rPr>
          <w:rFonts w:asciiTheme="minorHAnsi" w:hAnsiTheme="minorHAnsi" w:cstheme="minorHAnsi"/>
          <w:sz w:val="20"/>
          <w:szCs w:val="20"/>
          <w:lang w:val="es-EC"/>
        </w:rPr>
        <w:tab/>
      </w:r>
      <w:r>
        <w:rPr>
          <w:rFonts w:asciiTheme="minorHAnsi" w:hAnsiTheme="minorHAnsi" w:cstheme="minorHAnsi"/>
          <w:sz w:val="20"/>
          <w:szCs w:val="20"/>
          <w:lang w:val="es-EC"/>
        </w:rPr>
        <w:t>=</w:t>
      </w:r>
      <w:r>
        <w:rPr>
          <w:rFonts w:asciiTheme="minorHAnsi" w:hAnsiTheme="minorHAnsi" w:cstheme="minorHAnsi"/>
          <w:sz w:val="20"/>
          <w:szCs w:val="20"/>
          <w:lang w:val="es-EC"/>
        </w:rPr>
        <w:tab/>
      </w:r>
      <w:r>
        <w:rPr>
          <w:rFonts w:asciiTheme="minorHAnsi" w:hAnsiTheme="minorHAnsi" w:cstheme="minorHAnsi"/>
          <w:sz w:val="20"/>
          <w:szCs w:val="20"/>
          <w:lang w:val="es-EC"/>
        </w:rPr>
        <w:t>porcentaje estimado del Precio del Contrato correspondiente a la mano de obra.</w:t>
      </w:r>
    </w:p>
    <w:p>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Pr>
          <w:rFonts w:asciiTheme="minorHAnsi" w:hAnsiTheme="minorHAnsi" w:cstheme="minorHAnsi"/>
          <w:sz w:val="20"/>
          <w:szCs w:val="20"/>
          <w:lang w:val="es-EC"/>
        </w:rPr>
        <w:t>c</w:t>
      </w:r>
      <w:r>
        <w:rPr>
          <w:rFonts w:asciiTheme="minorHAnsi" w:hAnsiTheme="minorHAnsi" w:cstheme="minorHAnsi"/>
          <w:sz w:val="20"/>
          <w:szCs w:val="20"/>
          <w:lang w:val="es-EC"/>
        </w:rPr>
        <w:tab/>
      </w:r>
      <w:r>
        <w:rPr>
          <w:rFonts w:asciiTheme="minorHAnsi" w:hAnsiTheme="minorHAnsi" w:cstheme="minorHAnsi"/>
          <w:sz w:val="20"/>
          <w:szCs w:val="20"/>
          <w:lang w:val="es-EC"/>
        </w:rPr>
        <w:t>=</w:t>
      </w:r>
      <w:r>
        <w:rPr>
          <w:rFonts w:asciiTheme="minorHAnsi" w:hAnsiTheme="minorHAnsi" w:cstheme="minorHAnsi"/>
          <w:sz w:val="20"/>
          <w:szCs w:val="20"/>
          <w:lang w:val="es-EC"/>
        </w:rPr>
        <w:tab/>
      </w:r>
      <w:r>
        <w:rPr>
          <w:rFonts w:asciiTheme="minorHAnsi" w:hAnsiTheme="minorHAnsi" w:cstheme="minorHAnsi"/>
          <w:sz w:val="20"/>
          <w:szCs w:val="20"/>
          <w:lang w:val="es-EC"/>
        </w:rPr>
        <w:t>porcentaje estimado del Precio del Contrato correspondiente a los materiales.</w:t>
      </w:r>
    </w:p>
    <w:p>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Pr>
          <w:rFonts w:asciiTheme="minorHAnsi" w:hAnsiTheme="minorHAnsi" w:cstheme="minorHAnsi"/>
          <w:sz w:val="20"/>
          <w:szCs w:val="20"/>
          <w:lang w:val="es-EC"/>
        </w:rPr>
        <w:t>L</w:t>
      </w:r>
      <w:r>
        <w:rPr>
          <w:rFonts w:asciiTheme="minorHAnsi" w:hAnsiTheme="minorHAnsi" w:cstheme="minorHAnsi"/>
          <w:sz w:val="20"/>
          <w:szCs w:val="20"/>
          <w:vertAlign w:val="subscript"/>
          <w:lang w:val="es-EC"/>
        </w:rPr>
        <w:t>0</w:t>
      </w:r>
      <w:r>
        <w:rPr>
          <w:rFonts w:asciiTheme="minorHAnsi" w:hAnsiTheme="minorHAnsi" w:cstheme="minorHAnsi"/>
          <w:sz w:val="20"/>
          <w:szCs w:val="20"/>
          <w:lang w:val="es-EC"/>
        </w:rPr>
        <w:t>, L</w:t>
      </w:r>
      <w:r>
        <w:rPr>
          <w:rFonts w:asciiTheme="minorHAnsi" w:hAnsiTheme="minorHAnsi" w:cstheme="minorHAnsi"/>
          <w:sz w:val="20"/>
          <w:szCs w:val="20"/>
          <w:vertAlign w:val="subscript"/>
          <w:lang w:val="es-EC"/>
        </w:rPr>
        <w:t>1</w:t>
      </w:r>
      <w:r>
        <w:rPr>
          <w:rFonts w:asciiTheme="minorHAnsi" w:hAnsiTheme="minorHAnsi" w:cstheme="minorHAnsi"/>
          <w:sz w:val="20"/>
          <w:szCs w:val="20"/>
          <w:lang w:val="es-EC"/>
        </w:rPr>
        <w:tab/>
      </w:r>
      <w:r>
        <w:rPr>
          <w:rFonts w:asciiTheme="minorHAnsi" w:hAnsiTheme="minorHAnsi" w:cstheme="minorHAnsi"/>
          <w:sz w:val="20"/>
          <w:szCs w:val="20"/>
          <w:lang w:val="es-EC"/>
        </w:rPr>
        <w:t>=</w:t>
      </w:r>
      <w:r>
        <w:rPr>
          <w:rFonts w:asciiTheme="minorHAnsi" w:hAnsiTheme="minorHAnsi" w:cstheme="minorHAnsi"/>
          <w:sz w:val="20"/>
          <w:szCs w:val="20"/>
          <w:lang w:val="es-EC"/>
        </w:rPr>
        <w:tab/>
      </w:r>
      <w:r>
        <w:rPr>
          <w:rFonts w:asciiTheme="minorHAnsi" w:hAnsiTheme="minorHAnsi" w:cstheme="minorHAnsi"/>
          <w:sz w:val="20"/>
          <w:szCs w:val="20"/>
          <w:lang w:val="es-EC"/>
        </w:rPr>
        <w:t>índices de mano de obra aplicables al tipo de industria que corresponda según el país de origen de los bienes, en la fecha básica y en la fecha del ajuste, respectivamente.</w:t>
      </w:r>
    </w:p>
    <w:p>
      <w:pPr>
        <w:suppressAutoHyphens/>
        <w:spacing w:before="60" w:after="60" w:line="240" w:lineRule="auto"/>
        <w:ind w:left="1800" w:hanging="1260"/>
        <w:jc w:val="both"/>
        <w:rPr>
          <w:rFonts w:asciiTheme="minorHAnsi" w:hAnsiTheme="minorHAnsi" w:cstheme="minorHAnsi"/>
          <w:sz w:val="20"/>
          <w:szCs w:val="20"/>
          <w:lang w:val="es-EC"/>
        </w:rPr>
      </w:pPr>
      <w:r>
        <w:rPr>
          <w:rFonts w:asciiTheme="minorHAnsi" w:hAnsiTheme="minorHAnsi" w:cstheme="minorHAnsi"/>
          <w:sz w:val="20"/>
          <w:szCs w:val="20"/>
          <w:lang w:val="es-EC"/>
        </w:rPr>
        <w:t>M</w:t>
      </w:r>
      <w:r>
        <w:rPr>
          <w:rFonts w:asciiTheme="minorHAnsi" w:hAnsiTheme="minorHAnsi" w:cstheme="minorHAnsi"/>
          <w:sz w:val="20"/>
          <w:szCs w:val="20"/>
          <w:vertAlign w:val="subscript"/>
          <w:lang w:val="es-EC"/>
        </w:rPr>
        <w:t>0</w:t>
      </w:r>
      <w:r>
        <w:rPr>
          <w:rFonts w:asciiTheme="minorHAnsi" w:hAnsiTheme="minorHAnsi" w:cstheme="minorHAnsi"/>
          <w:sz w:val="20"/>
          <w:szCs w:val="20"/>
          <w:lang w:val="es-EC"/>
        </w:rPr>
        <w:t>, M</w:t>
      </w:r>
      <w:r>
        <w:rPr>
          <w:rFonts w:asciiTheme="minorHAnsi" w:hAnsiTheme="minorHAnsi" w:cstheme="minorHAnsi"/>
          <w:sz w:val="20"/>
          <w:szCs w:val="20"/>
          <w:vertAlign w:val="subscript"/>
          <w:lang w:val="es-EC"/>
        </w:rPr>
        <w:t>1</w:t>
      </w:r>
      <w:r>
        <w:rPr>
          <w:rFonts w:asciiTheme="minorHAnsi" w:hAnsiTheme="minorHAnsi" w:cstheme="minorHAnsi"/>
          <w:sz w:val="20"/>
          <w:szCs w:val="20"/>
          <w:lang w:val="es-EC"/>
        </w:rPr>
        <w:t xml:space="preserve">  = </w:t>
      </w:r>
      <w:r>
        <w:rPr>
          <w:rFonts w:asciiTheme="minorHAnsi" w:hAnsiTheme="minorHAnsi" w:cstheme="minorHAnsi"/>
          <w:sz w:val="20"/>
          <w:szCs w:val="20"/>
          <w:lang w:val="es-EC"/>
        </w:rPr>
        <w:tab/>
      </w:r>
      <w:r>
        <w:rPr>
          <w:rFonts w:asciiTheme="minorHAnsi" w:hAnsiTheme="minorHAnsi" w:cstheme="minorHAnsi"/>
          <w:sz w:val="20"/>
          <w:szCs w:val="20"/>
          <w:lang w:val="es-EC"/>
        </w:rPr>
        <w:t>índices de materiales correspondientes a las principales materias primas  en la fecha básica y en la fecha de ajuste, respectivamente, en el país de origen.</w:t>
      </w:r>
    </w:p>
    <w:p>
      <w:pPr>
        <w:suppressAutoHyphens/>
        <w:spacing w:before="60" w:after="60" w:line="240" w:lineRule="auto"/>
        <w:ind w:left="540"/>
        <w:jc w:val="both"/>
        <w:rPr>
          <w:rFonts w:asciiTheme="minorHAnsi" w:hAnsiTheme="minorHAnsi" w:cstheme="minorHAnsi"/>
          <w:sz w:val="20"/>
          <w:szCs w:val="20"/>
          <w:lang w:val="es-EC"/>
        </w:rPr>
      </w:pPr>
      <w:r>
        <w:rPr>
          <w:rFonts w:asciiTheme="minorHAnsi" w:hAnsiTheme="minorHAnsi" w:cstheme="minorHAnsi"/>
          <w:sz w:val="20"/>
          <w:szCs w:val="20"/>
          <w:lang w:val="es-EC"/>
        </w:rPr>
        <w:t>Los coeficientes a, b, y c según los establece el Comprador son como sigue:</w:t>
      </w:r>
    </w:p>
    <w:p>
      <w:pPr>
        <w:suppressAutoHyphens/>
        <w:spacing w:before="60" w:after="60" w:line="240" w:lineRule="auto"/>
        <w:ind w:left="54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a = </w:t>
      </w:r>
      <w:r>
        <w:rPr>
          <w:rFonts w:asciiTheme="minorHAnsi" w:hAnsiTheme="minorHAnsi" w:cstheme="minorHAnsi"/>
          <w:i/>
          <w:iCs/>
          <w:sz w:val="20"/>
          <w:szCs w:val="20"/>
          <w:lang w:val="es-EC"/>
        </w:rPr>
        <w:t>[indicar valor del coeficiente]</w:t>
      </w:r>
    </w:p>
    <w:p>
      <w:pPr>
        <w:suppressAutoHyphens/>
        <w:spacing w:before="60" w:after="60" w:line="240" w:lineRule="auto"/>
        <w:ind w:left="54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b= </w:t>
      </w:r>
      <w:r>
        <w:rPr>
          <w:rFonts w:asciiTheme="minorHAnsi" w:hAnsiTheme="minorHAnsi" w:cstheme="minorHAnsi"/>
          <w:i/>
          <w:iCs/>
          <w:sz w:val="20"/>
          <w:szCs w:val="20"/>
          <w:lang w:val="es-EC"/>
        </w:rPr>
        <w:t>[indicar valor del coeficiente]</w:t>
      </w:r>
    </w:p>
    <w:p>
      <w:pPr>
        <w:suppressAutoHyphens/>
        <w:spacing w:before="60" w:after="60" w:line="240" w:lineRule="auto"/>
        <w:ind w:left="54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 </w:t>
      </w:r>
      <w:r>
        <w:rPr>
          <w:rFonts w:asciiTheme="minorHAnsi" w:hAnsiTheme="minorHAnsi" w:cstheme="minorHAnsi"/>
          <w:i/>
          <w:iCs/>
          <w:sz w:val="20"/>
          <w:szCs w:val="20"/>
          <w:lang w:val="es-EC"/>
        </w:rPr>
        <w:t>[indicar valor del coeficiente]</w:t>
      </w:r>
    </w:p>
    <w:p>
      <w:pPr>
        <w:suppressAutoHyphens/>
        <w:spacing w:before="60" w:after="60" w:line="240" w:lineRule="auto"/>
        <w:ind w:left="540"/>
        <w:jc w:val="both"/>
        <w:rPr>
          <w:rFonts w:asciiTheme="minorHAnsi" w:hAnsiTheme="minorHAnsi" w:cstheme="minorHAnsi"/>
          <w:sz w:val="20"/>
          <w:szCs w:val="20"/>
          <w:lang w:val="es-EC"/>
        </w:rPr>
      </w:pPr>
      <w:r>
        <w:rPr>
          <w:rFonts w:asciiTheme="minorHAnsi" w:hAnsiTheme="minorHAnsi" w:cstheme="minorHAnsi"/>
          <w:sz w:val="20"/>
          <w:szCs w:val="20"/>
          <w:lang w:val="es-EC"/>
        </w:rPr>
        <w:t>El Oferente indicará en su oferta la fuente de los índices y la fecha base de los índices.</w:t>
      </w:r>
    </w:p>
    <w:p>
      <w:pPr>
        <w:suppressAutoHyphens/>
        <w:spacing w:before="60" w:after="60" w:line="240" w:lineRule="auto"/>
        <w:ind w:left="540"/>
        <w:jc w:val="both"/>
        <w:rPr>
          <w:rFonts w:asciiTheme="minorHAnsi" w:hAnsiTheme="minorHAnsi" w:cstheme="minorHAnsi"/>
          <w:sz w:val="20"/>
          <w:szCs w:val="20"/>
          <w:lang w:val="es-EC"/>
        </w:rPr>
      </w:pPr>
      <w:r>
        <w:rPr>
          <w:rFonts w:asciiTheme="minorHAnsi" w:hAnsiTheme="minorHAnsi" w:cstheme="minorHAnsi"/>
          <w:sz w:val="20"/>
          <w:szCs w:val="20"/>
          <w:lang w:val="es-EC"/>
        </w:rPr>
        <w:t>Fecha base = treinta (30) días antes de la fecha límite para la presentación de ofertas.</w:t>
      </w:r>
    </w:p>
    <w:p>
      <w:pPr>
        <w:suppressAutoHyphens/>
        <w:spacing w:before="60" w:after="60" w:line="240" w:lineRule="auto"/>
        <w:ind w:left="54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Fecha del ajuste = </w:t>
      </w:r>
      <w:r>
        <w:rPr>
          <w:rFonts w:asciiTheme="minorHAnsi" w:hAnsiTheme="minorHAnsi" w:cstheme="minorHAnsi"/>
          <w:i/>
          <w:sz w:val="20"/>
          <w:szCs w:val="20"/>
          <w:lang w:val="es-EC"/>
        </w:rPr>
        <w:t>[indicar el número de semanas]</w:t>
      </w:r>
      <w:r>
        <w:rPr>
          <w:rFonts w:asciiTheme="minorHAnsi" w:hAnsiTheme="minorHAnsi" w:cstheme="minorHAnsi"/>
          <w:sz w:val="20"/>
          <w:szCs w:val="20"/>
          <w:lang w:val="es-EC"/>
        </w:rPr>
        <w:t xml:space="preserve"> semanas antes de la fecha de embarque (que representa el punto medio del período de fabricación). </w:t>
      </w:r>
    </w:p>
    <w:p>
      <w:pPr>
        <w:suppressAutoHyphens/>
        <w:spacing w:before="60" w:after="60" w:line="240" w:lineRule="auto"/>
        <w:ind w:left="540"/>
        <w:jc w:val="both"/>
        <w:rPr>
          <w:rFonts w:asciiTheme="minorHAnsi" w:hAnsiTheme="minorHAnsi" w:cstheme="minorHAnsi"/>
          <w:sz w:val="20"/>
          <w:szCs w:val="20"/>
          <w:lang w:val="es-EC"/>
        </w:rPr>
      </w:pPr>
      <w:r>
        <w:rPr>
          <w:rFonts w:asciiTheme="minorHAnsi" w:hAnsiTheme="minorHAnsi" w:cstheme="minorHAnsi"/>
          <w:sz w:val="20"/>
          <w:szCs w:val="20"/>
          <w:lang w:val="es-EC"/>
        </w:rPr>
        <w:t>La fórmula de ajuste de precio anterior podrá ser invocada por cualquiera de las partes bajo las siguientes condiciones:</w:t>
      </w:r>
    </w:p>
    <w:p>
      <w:pPr>
        <w:tabs>
          <w:tab w:val="left" w:pos="1080"/>
        </w:tabs>
        <w:suppressAutoHyphens/>
        <w:spacing w:before="60" w:after="60" w:line="240" w:lineRule="auto"/>
        <w:ind w:left="1080" w:hanging="540"/>
        <w:jc w:val="both"/>
        <w:rPr>
          <w:rFonts w:asciiTheme="minorHAnsi" w:hAnsiTheme="minorHAnsi" w:cstheme="minorHAnsi"/>
          <w:sz w:val="20"/>
          <w:szCs w:val="20"/>
          <w:lang w:val="es-EC"/>
        </w:rPr>
      </w:pPr>
      <w:r>
        <w:rPr>
          <w:rFonts w:asciiTheme="minorHAnsi" w:hAnsiTheme="minorHAnsi" w:cstheme="minorHAnsi"/>
          <w:sz w:val="20"/>
          <w:szCs w:val="20"/>
          <w:lang w:val="es-EC"/>
        </w:rPr>
        <w:t>(a)</w:t>
      </w:r>
      <w:r>
        <w:rPr>
          <w:rFonts w:asciiTheme="minorHAnsi" w:hAnsiTheme="minorHAnsi" w:cstheme="minorHAnsi"/>
          <w:sz w:val="20"/>
          <w:szCs w:val="20"/>
          <w:lang w:val="es-EC"/>
        </w:rPr>
        <w:tab/>
      </w:r>
      <w:r>
        <w:rPr>
          <w:rFonts w:asciiTheme="minorHAnsi" w:hAnsiTheme="minorHAnsi" w:cstheme="minorHAnsi"/>
          <w:sz w:val="20"/>
          <w:szCs w:val="20"/>
          <w:lang w:val="es-EC"/>
        </w:rPr>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pPr>
        <w:tabs>
          <w:tab w:val="left" w:pos="1080"/>
        </w:tabs>
        <w:suppressAutoHyphens/>
        <w:spacing w:before="60" w:after="60" w:line="240" w:lineRule="auto"/>
        <w:ind w:left="1080" w:hanging="540"/>
        <w:jc w:val="both"/>
        <w:rPr>
          <w:rFonts w:asciiTheme="minorHAnsi" w:hAnsiTheme="minorHAnsi" w:cstheme="minorHAnsi"/>
          <w:sz w:val="20"/>
          <w:szCs w:val="20"/>
          <w:lang w:val="es-EC"/>
        </w:rPr>
      </w:pPr>
      <w:r>
        <w:rPr>
          <w:rFonts w:asciiTheme="minorHAnsi" w:hAnsiTheme="minorHAnsi" w:cstheme="minorHAnsi"/>
          <w:sz w:val="20"/>
          <w:szCs w:val="20"/>
          <w:lang w:val="es-EC"/>
        </w:rPr>
        <w:t>(b)</w:t>
      </w:r>
      <w:r>
        <w:rPr>
          <w:rFonts w:asciiTheme="minorHAnsi" w:hAnsiTheme="minorHAnsi" w:cstheme="minorHAnsi"/>
          <w:sz w:val="20"/>
          <w:szCs w:val="20"/>
          <w:lang w:val="es-EC"/>
        </w:rPr>
        <w:tab/>
      </w:r>
      <w:r>
        <w:rPr>
          <w:rFonts w:asciiTheme="minorHAnsi" w:hAnsiTheme="minorHAnsi" w:cstheme="minorHAnsi"/>
          <w:sz w:val="20"/>
          <w:szCs w:val="20"/>
          <w:lang w:val="es-EC"/>
        </w:rPr>
        <w:t>Si la moneda en la cual el Precio del Contrato P</w:t>
      </w:r>
      <w:r>
        <w:rPr>
          <w:rFonts w:asciiTheme="minorHAnsi" w:hAnsiTheme="minorHAnsi" w:cstheme="minorHAnsi"/>
          <w:sz w:val="20"/>
          <w:szCs w:val="20"/>
          <w:vertAlign w:val="subscript"/>
          <w:lang w:val="es-EC"/>
        </w:rPr>
        <w:t>0</w:t>
      </w:r>
      <w:r>
        <w:rPr>
          <w:rFonts w:asciiTheme="minorHAnsi" w:hAnsiTheme="minorHAnsi" w:cstheme="minorHAnsi"/>
          <w:sz w:val="20"/>
          <w:szCs w:val="20"/>
          <w:lang w:val="es-EC"/>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pPr>
        <w:tabs>
          <w:tab w:val="left" w:pos="1080"/>
        </w:tabs>
        <w:suppressAutoHyphens/>
        <w:spacing w:before="60" w:after="60" w:line="240" w:lineRule="auto"/>
        <w:ind w:left="1080" w:hanging="540"/>
        <w:jc w:val="both"/>
        <w:rPr>
          <w:rFonts w:asciiTheme="minorHAnsi" w:hAnsiTheme="minorHAnsi" w:cstheme="minorHAnsi"/>
          <w:sz w:val="20"/>
          <w:szCs w:val="20"/>
          <w:lang w:val="es-EC"/>
        </w:rPr>
      </w:pPr>
      <w:r>
        <w:rPr>
          <w:rFonts w:asciiTheme="minorHAnsi" w:hAnsiTheme="minorHAnsi" w:cstheme="minorHAnsi"/>
          <w:sz w:val="20"/>
          <w:szCs w:val="20"/>
          <w:lang w:val="es-EC"/>
        </w:rPr>
        <w:t>(c)</w:t>
      </w:r>
      <w:r>
        <w:rPr>
          <w:rFonts w:asciiTheme="minorHAnsi" w:hAnsiTheme="minorHAnsi" w:cstheme="minorHAnsi"/>
          <w:sz w:val="20"/>
          <w:szCs w:val="20"/>
          <w:lang w:val="es-EC"/>
        </w:rPr>
        <w:tab/>
      </w:r>
      <w:r>
        <w:rPr>
          <w:rFonts w:asciiTheme="minorHAnsi" w:hAnsiTheme="minorHAnsi" w:cstheme="minorHAnsi"/>
          <w:sz w:val="20"/>
          <w:szCs w:val="20"/>
          <w:lang w:val="es-EC"/>
        </w:rPr>
        <w:t>No se efectuará ningún reajuste de precio a la porción del Precio del Contrato pagado al Proveedor como anticipo.</w:t>
      </w:r>
      <w:r>
        <w:rPr>
          <w:rFonts w:asciiTheme="minorHAnsi" w:hAnsiTheme="minorHAnsi" w:cstheme="minorHAnsi"/>
          <w:sz w:val="20"/>
          <w:szCs w:val="20"/>
          <w:lang w:val="es-EC"/>
        </w:rPr>
        <w:tab/>
      </w:r>
      <w:r>
        <w:rPr>
          <w:rFonts w:asciiTheme="minorHAnsi" w:hAnsiTheme="minorHAnsi" w:cstheme="minorHAnsi"/>
          <w:sz w:val="20"/>
          <w:szCs w:val="20"/>
          <w:lang w:val="es-EC"/>
        </w:rPr>
        <w:br w:type="page"/>
      </w:r>
    </w:p>
    <w:p>
      <w:pPr>
        <w:keepNext/>
        <w:keepLines/>
        <w:spacing w:before="240" w:after="0" w:line="240" w:lineRule="auto"/>
        <w:outlineLvl w:val="1"/>
        <w:rPr>
          <w:rFonts w:asciiTheme="minorHAnsi" w:hAnsiTheme="minorHAnsi" w:cstheme="minorHAnsi"/>
          <w:b/>
          <w:sz w:val="20"/>
          <w:szCs w:val="20"/>
          <w:lang w:val="es-EC"/>
        </w:rPr>
      </w:pPr>
      <w:bookmarkStart w:id="411" w:name="_Toc478103530"/>
      <w:r>
        <w:rPr>
          <w:rFonts w:asciiTheme="minorHAnsi" w:hAnsiTheme="minorHAnsi" w:cstheme="minorHAnsi"/>
          <w:b/>
          <w:sz w:val="20"/>
          <w:szCs w:val="20"/>
          <w:lang w:val="es-EC"/>
        </w:rPr>
        <w:t>Apéndice 2: Fraude y Corrupción y Prácticas Prohibidas</w:t>
      </w:r>
      <w:bookmarkEnd w:id="411"/>
    </w:p>
    <w:p>
      <w:pPr>
        <w:rPr>
          <w:rFonts w:asciiTheme="minorHAnsi" w:hAnsiTheme="minorHAnsi" w:cstheme="minorHAnsi"/>
          <w:b/>
          <w:sz w:val="20"/>
          <w:szCs w:val="20"/>
          <w:lang w:val="es-EC"/>
        </w:rPr>
      </w:pPr>
    </w:p>
    <w:p>
      <w:pPr>
        <w:rPr>
          <w:rFonts w:asciiTheme="minorHAnsi" w:hAnsiTheme="minorHAnsi" w:cstheme="minorHAnsi"/>
          <w:b/>
          <w:sz w:val="20"/>
          <w:szCs w:val="20"/>
          <w:lang w:val="es-EC"/>
        </w:rPr>
      </w:pPr>
      <w:r>
        <w:rPr>
          <w:rFonts w:asciiTheme="minorHAnsi" w:hAnsiTheme="minorHAnsi" w:cstheme="minorHAnsi"/>
          <w:b/>
          <w:sz w:val="20"/>
          <w:szCs w:val="20"/>
          <w:lang w:val="es-EC"/>
        </w:rPr>
        <w:t xml:space="preserve">Prácticas Prohibidas </w:t>
      </w:r>
    </w:p>
    <w:p>
      <w:pPr>
        <w:numPr>
          <w:ilvl w:val="0"/>
          <w:numId w:val="176"/>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El</w:t>
      </w:r>
      <w:r>
        <w:rPr>
          <w:rFonts w:asciiTheme="minorHAnsi" w:hAnsiTheme="minorHAnsi" w:cstheme="minorHAnsi"/>
          <w:bCs/>
          <w:sz w:val="20"/>
          <w:szCs w:val="20"/>
          <w:lang w:val="es-EC"/>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Pr>
          <w:rFonts w:asciiTheme="minorHAnsi" w:hAnsiTheme="minorHAnsi" w:cstheme="minorHAnsi"/>
          <w:bCs/>
          <w:sz w:val="20"/>
          <w:szCs w:val="20"/>
          <w:vertAlign w:val="superscript"/>
          <w:lang w:val="es-EC"/>
        </w:rPr>
        <w:footnoteReference w:id="6"/>
      </w:r>
      <w:r>
        <w:rPr>
          <w:rFonts w:asciiTheme="minorHAnsi" w:hAnsiTheme="minorHAnsi" w:cstheme="minorHAnsi"/>
          <w:bCs/>
          <w:sz w:val="20"/>
          <w:szCs w:val="20"/>
          <w:lang w:val="es-EC"/>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Pr>
          <w:rFonts w:asciiTheme="minorHAnsi" w:hAnsiTheme="minorHAnsi" w:cstheme="minorHAnsi"/>
          <w:sz w:val="20"/>
          <w:szCs w:val="20"/>
          <w:lang w:val="es-EC"/>
        </w:rPr>
        <w:t>.</w:t>
      </w:r>
    </w:p>
    <w:p>
      <w:pPr>
        <w:numPr>
          <w:ilvl w:val="0"/>
          <w:numId w:val="177"/>
        </w:numPr>
        <w:spacing w:before="60" w:after="60" w:line="240" w:lineRule="auto"/>
        <w:ind w:left="720"/>
        <w:jc w:val="both"/>
        <w:rPr>
          <w:rFonts w:asciiTheme="minorHAnsi" w:hAnsiTheme="minorHAnsi" w:cstheme="minorHAnsi"/>
          <w:sz w:val="20"/>
          <w:szCs w:val="20"/>
          <w:lang w:val="es-EC"/>
        </w:rPr>
      </w:pPr>
      <w:r>
        <w:rPr>
          <w:rFonts w:asciiTheme="minorHAnsi" w:hAnsiTheme="minorHAnsi" w:cstheme="minorHAnsi"/>
          <w:bCs/>
          <w:sz w:val="20"/>
          <w:szCs w:val="20"/>
          <w:lang w:val="es-EC"/>
        </w:rPr>
        <w:t>El Banco define, para efectos de esta disposición, los términos que figuran a continuación</w:t>
      </w:r>
      <w:r>
        <w:rPr>
          <w:rFonts w:asciiTheme="minorHAnsi" w:hAnsiTheme="minorHAnsi" w:cstheme="minorHAnsi"/>
          <w:sz w:val="20"/>
          <w:szCs w:val="20"/>
          <w:lang w:val="es-EC"/>
        </w:rPr>
        <w:t xml:space="preserve">: </w:t>
      </w:r>
    </w:p>
    <w:p>
      <w:pPr>
        <w:pStyle w:val="64"/>
        <w:numPr>
          <w:ilvl w:val="0"/>
          <w:numId w:val="178"/>
        </w:numPr>
        <w:spacing w:before="60" w:after="60" w:line="240" w:lineRule="auto"/>
        <w:ind w:left="1080"/>
        <w:contextualSpacing w:val="0"/>
        <w:jc w:val="both"/>
        <w:rPr>
          <w:rFonts w:eastAsia="Times New Roman" w:asciiTheme="minorHAnsi" w:hAnsiTheme="minorHAnsi" w:cstheme="minorHAnsi"/>
          <w:sz w:val="20"/>
          <w:szCs w:val="20"/>
          <w:lang w:val="es-EC"/>
        </w:rPr>
      </w:pPr>
      <w:r>
        <w:rPr>
          <w:rFonts w:eastAsia="Times New Roman" w:asciiTheme="minorHAnsi" w:hAnsiTheme="minorHAnsi" w:cstheme="minorHAnsi"/>
          <w:bCs/>
          <w:sz w:val="20"/>
          <w:szCs w:val="20"/>
          <w:lang w:val="es-EC"/>
        </w:rPr>
        <w:t>Una práctica corruptiva consiste en ofrecer, dar, recibir o solicitar, directa o indirectamente, cualquier cosa de valor para influenciar indebidamente las acciones de otra parte</w:t>
      </w:r>
      <w:r>
        <w:rPr>
          <w:rFonts w:eastAsia="Times New Roman" w:asciiTheme="minorHAnsi" w:hAnsiTheme="minorHAnsi" w:cstheme="minorHAnsi"/>
          <w:sz w:val="20"/>
          <w:szCs w:val="20"/>
          <w:lang w:val="es-EC"/>
        </w:rPr>
        <w:t>;</w:t>
      </w:r>
    </w:p>
    <w:p>
      <w:pPr>
        <w:pStyle w:val="64"/>
        <w:numPr>
          <w:ilvl w:val="0"/>
          <w:numId w:val="178"/>
        </w:numPr>
        <w:spacing w:before="60" w:after="60" w:line="240" w:lineRule="auto"/>
        <w:ind w:left="1080"/>
        <w:contextualSpacing w:val="0"/>
        <w:jc w:val="both"/>
        <w:rPr>
          <w:rFonts w:eastAsia="Times New Roman" w:asciiTheme="minorHAnsi" w:hAnsiTheme="minorHAnsi" w:cstheme="minorHAnsi"/>
          <w:bCs/>
          <w:sz w:val="20"/>
          <w:szCs w:val="20"/>
          <w:lang w:val="es-EC"/>
        </w:rPr>
      </w:pPr>
      <w:r>
        <w:rPr>
          <w:rFonts w:eastAsia="Times New Roman" w:asciiTheme="minorHAnsi" w:hAnsiTheme="minorHAnsi" w:cstheme="minorHAnsi"/>
          <w:bCs/>
          <w:sz w:val="20"/>
          <w:szCs w:val="20"/>
          <w:lang w:val="es-EC"/>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pPr>
        <w:pStyle w:val="64"/>
        <w:numPr>
          <w:ilvl w:val="0"/>
          <w:numId w:val="178"/>
        </w:numPr>
        <w:spacing w:before="60" w:after="60" w:line="240" w:lineRule="auto"/>
        <w:ind w:left="1080"/>
        <w:contextualSpacing w:val="0"/>
        <w:jc w:val="both"/>
        <w:rPr>
          <w:rFonts w:eastAsia="Times New Roman" w:asciiTheme="minorHAnsi" w:hAnsiTheme="minorHAnsi" w:cstheme="minorHAnsi"/>
          <w:bCs/>
          <w:sz w:val="20"/>
          <w:szCs w:val="20"/>
          <w:lang w:val="es-EC"/>
        </w:rPr>
      </w:pPr>
      <w:r>
        <w:rPr>
          <w:rFonts w:eastAsia="Times New Roman" w:asciiTheme="minorHAnsi" w:hAnsiTheme="minorHAnsi" w:cstheme="minorHAnsi"/>
          <w:bCs/>
          <w:sz w:val="20"/>
          <w:szCs w:val="20"/>
          <w:lang w:val="es-EC"/>
        </w:rPr>
        <w:t>Una práctica coercitiva consiste en perjudicar o causar daño, o amenazar con perjudicar o causar daño, directa o indirectamente, a cualquier parte o a sus bienes para influenciar indebidamente las acciones de una parte; y</w:t>
      </w:r>
    </w:p>
    <w:p>
      <w:pPr>
        <w:pStyle w:val="64"/>
        <w:numPr>
          <w:ilvl w:val="0"/>
          <w:numId w:val="178"/>
        </w:numPr>
        <w:spacing w:before="60" w:after="60" w:line="240" w:lineRule="auto"/>
        <w:ind w:left="1080"/>
        <w:contextualSpacing w:val="0"/>
        <w:jc w:val="both"/>
        <w:rPr>
          <w:rFonts w:eastAsia="Times New Roman" w:asciiTheme="minorHAnsi" w:hAnsiTheme="minorHAnsi" w:cstheme="minorHAnsi"/>
          <w:bCs/>
          <w:sz w:val="20"/>
          <w:szCs w:val="20"/>
          <w:lang w:val="es-EC"/>
        </w:rPr>
      </w:pPr>
      <w:r>
        <w:rPr>
          <w:rFonts w:eastAsia="Times New Roman" w:asciiTheme="minorHAnsi" w:hAnsiTheme="minorHAnsi" w:cstheme="minorHAnsi"/>
          <w:bCs/>
          <w:sz w:val="20"/>
          <w:szCs w:val="20"/>
          <w:lang w:val="es-EC"/>
        </w:rPr>
        <w:t>Una práctica colusoria es un acuerdo entre dos o más partes realizado con la intención de alcanzar un propósito inapropiado, lo que incluye influenciar en forma inapropiada las acciones de otra parte; y</w:t>
      </w:r>
    </w:p>
    <w:p>
      <w:pPr>
        <w:pStyle w:val="64"/>
        <w:numPr>
          <w:ilvl w:val="0"/>
          <w:numId w:val="178"/>
        </w:numPr>
        <w:spacing w:before="60" w:after="60" w:line="240" w:lineRule="auto"/>
        <w:ind w:left="1080"/>
        <w:contextualSpacing w:val="0"/>
        <w:jc w:val="both"/>
        <w:rPr>
          <w:rFonts w:eastAsia="Times New Roman" w:asciiTheme="minorHAnsi" w:hAnsiTheme="minorHAnsi" w:cstheme="minorHAnsi"/>
          <w:bCs/>
          <w:sz w:val="20"/>
          <w:szCs w:val="20"/>
          <w:lang w:val="es-EC"/>
        </w:rPr>
      </w:pPr>
      <w:r>
        <w:rPr>
          <w:rFonts w:eastAsia="Times New Roman" w:asciiTheme="minorHAnsi" w:hAnsiTheme="minorHAnsi" w:cstheme="minorHAnsi"/>
          <w:bCs/>
          <w:sz w:val="20"/>
          <w:szCs w:val="20"/>
          <w:lang w:val="es-EC"/>
        </w:rPr>
        <w:t>Una práctica obstructiva consiste en:</w:t>
      </w:r>
    </w:p>
    <w:p>
      <w:pPr>
        <w:pStyle w:val="64"/>
        <w:numPr>
          <w:ilvl w:val="0"/>
          <w:numId w:val="179"/>
        </w:numPr>
        <w:spacing w:before="60" w:after="60" w:line="240" w:lineRule="auto"/>
        <w:ind w:left="1440"/>
        <w:jc w:val="both"/>
        <w:rPr>
          <w:rFonts w:asciiTheme="minorHAnsi" w:hAnsiTheme="minorHAnsi" w:cstheme="minorHAnsi"/>
          <w:sz w:val="20"/>
          <w:szCs w:val="20"/>
          <w:lang w:val="es-EC"/>
        </w:rPr>
      </w:pPr>
      <w:r>
        <w:rPr>
          <w:rFonts w:asciiTheme="minorHAnsi" w:hAnsiTheme="minorHAnsi" w:cstheme="minorHAnsi"/>
          <w:bCs/>
          <w:sz w:val="20"/>
          <w:szCs w:val="20"/>
          <w:lang w:val="es-EC"/>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pPr>
        <w:pStyle w:val="64"/>
        <w:numPr>
          <w:ilvl w:val="0"/>
          <w:numId w:val="179"/>
        </w:numPr>
        <w:spacing w:before="60" w:after="60" w:line="240" w:lineRule="auto"/>
        <w:ind w:left="1440"/>
        <w:jc w:val="both"/>
        <w:rPr>
          <w:rFonts w:asciiTheme="minorHAnsi" w:hAnsiTheme="minorHAnsi" w:cstheme="minorHAnsi"/>
          <w:sz w:val="20"/>
          <w:szCs w:val="20"/>
          <w:lang w:val="es-EC"/>
        </w:rPr>
      </w:pPr>
      <w:r>
        <w:rPr>
          <w:rFonts w:asciiTheme="minorHAnsi" w:hAnsiTheme="minorHAnsi" w:cstheme="minorHAnsi"/>
          <w:bCs/>
          <w:sz w:val="20"/>
          <w:szCs w:val="20"/>
          <w:lang w:val="es-EC"/>
        </w:rPr>
        <w:t>todo acto dirigido a impedir materialmente el ejercicio de inspección del Banco y los derechos de auditoría previstos en el párrafo 1.1 (e) de abajo</w:t>
      </w:r>
      <w:r>
        <w:rPr>
          <w:rFonts w:asciiTheme="minorHAnsi" w:hAnsiTheme="minorHAnsi" w:cstheme="minorHAnsi"/>
          <w:sz w:val="20"/>
          <w:szCs w:val="20"/>
          <w:lang w:val="es-EC"/>
        </w:rPr>
        <w:t>.</w:t>
      </w:r>
    </w:p>
    <w:p>
      <w:pPr>
        <w:numPr>
          <w:ilvl w:val="0"/>
          <w:numId w:val="177"/>
        </w:numPr>
        <w:spacing w:before="60" w:after="60" w:line="240" w:lineRule="auto"/>
        <w:ind w:left="720"/>
        <w:jc w:val="both"/>
        <w:rPr>
          <w:rFonts w:asciiTheme="minorHAnsi" w:hAnsiTheme="minorHAnsi" w:cstheme="minorHAnsi"/>
          <w:sz w:val="20"/>
          <w:szCs w:val="20"/>
          <w:lang w:val="es-EC"/>
        </w:rPr>
      </w:pPr>
      <w:r>
        <w:rPr>
          <w:rFonts w:asciiTheme="minorHAnsi" w:hAnsiTheme="minorHAnsi" w:cstheme="minorHAnsi"/>
          <w:bCs/>
          <w:sz w:val="20"/>
          <w:szCs w:val="20"/>
          <w:lang w:val="es-EC"/>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Pr>
          <w:rFonts w:asciiTheme="minorHAnsi" w:hAnsiTheme="minorHAnsi" w:cstheme="minorHAnsi"/>
          <w:sz w:val="20"/>
          <w:szCs w:val="20"/>
          <w:lang w:val="es-EC"/>
        </w:rPr>
        <w:t>:</w:t>
      </w:r>
    </w:p>
    <w:p>
      <w:pPr>
        <w:pStyle w:val="64"/>
        <w:numPr>
          <w:ilvl w:val="0"/>
          <w:numId w:val="180"/>
        </w:numPr>
        <w:spacing w:before="60" w:after="60" w:line="240" w:lineRule="auto"/>
        <w:ind w:left="1080"/>
        <w:contextualSpacing w:val="0"/>
        <w:jc w:val="both"/>
        <w:rPr>
          <w:rFonts w:eastAsia="Times New Roman" w:asciiTheme="minorHAnsi" w:hAnsiTheme="minorHAnsi" w:cstheme="minorHAnsi"/>
          <w:sz w:val="20"/>
          <w:szCs w:val="20"/>
          <w:lang w:val="es-EC"/>
        </w:rPr>
      </w:pPr>
      <w:r>
        <w:rPr>
          <w:rFonts w:eastAsia="Times New Roman" w:asciiTheme="minorHAnsi" w:hAnsiTheme="minorHAnsi" w:cstheme="minorHAnsi"/>
          <w:bCs/>
          <w:iCs/>
          <w:sz w:val="20"/>
          <w:szCs w:val="20"/>
          <w:lang w:val="es-EC"/>
        </w:rPr>
        <w:t>no financiar ninguna propuesta de adjudicación de un contrato para la adquisición de bienes o servicios, la contratación de obras, o servicios de consultoría</w:t>
      </w:r>
      <w:r>
        <w:rPr>
          <w:rFonts w:eastAsia="Times New Roman" w:asciiTheme="minorHAnsi" w:hAnsiTheme="minorHAnsi" w:cstheme="minorHAnsi"/>
          <w:sz w:val="20"/>
          <w:szCs w:val="20"/>
          <w:lang w:val="es-EC"/>
        </w:rPr>
        <w:t>;</w:t>
      </w:r>
    </w:p>
    <w:p>
      <w:pPr>
        <w:pStyle w:val="64"/>
        <w:numPr>
          <w:ilvl w:val="0"/>
          <w:numId w:val="180"/>
        </w:numPr>
        <w:spacing w:before="60" w:after="60" w:line="240" w:lineRule="auto"/>
        <w:ind w:left="1080"/>
        <w:contextualSpacing w:val="0"/>
        <w:jc w:val="both"/>
        <w:rPr>
          <w:rFonts w:eastAsia="Times New Roman" w:asciiTheme="minorHAnsi" w:hAnsiTheme="minorHAnsi" w:cstheme="minorHAnsi"/>
          <w:bCs/>
          <w:iCs/>
          <w:sz w:val="20"/>
          <w:szCs w:val="20"/>
          <w:lang w:val="es-EC"/>
        </w:rPr>
      </w:pPr>
      <w:r>
        <w:rPr>
          <w:rFonts w:eastAsia="Times New Roman" w:asciiTheme="minorHAnsi" w:hAnsiTheme="minorHAnsi" w:cstheme="minorHAnsi"/>
          <w:bCs/>
          <w:iCs/>
          <w:sz w:val="20"/>
          <w:szCs w:val="20"/>
          <w:lang w:val="es-EC"/>
        </w:rPr>
        <w:t>suspender los desembolsos de la operación, si se determina, en cualquier etapa, que un empleado, agencia o representante del Prestatario, el Organismo Ejecutor o el Organismo Contratante ha cometido una Práctica Prohibida;</w:t>
      </w:r>
    </w:p>
    <w:p>
      <w:pPr>
        <w:pStyle w:val="64"/>
        <w:numPr>
          <w:ilvl w:val="0"/>
          <w:numId w:val="180"/>
        </w:numPr>
        <w:spacing w:before="60" w:after="60" w:line="240" w:lineRule="auto"/>
        <w:ind w:left="1080"/>
        <w:contextualSpacing w:val="0"/>
        <w:jc w:val="both"/>
        <w:rPr>
          <w:rFonts w:eastAsia="Times New Roman" w:asciiTheme="minorHAnsi" w:hAnsiTheme="minorHAnsi" w:cstheme="minorHAnsi"/>
          <w:bCs/>
          <w:iCs/>
          <w:sz w:val="20"/>
          <w:szCs w:val="20"/>
          <w:lang w:val="es-EC"/>
        </w:rPr>
      </w:pPr>
      <w:r>
        <w:rPr>
          <w:rFonts w:eastAsia="Times New Roman" w:asciiTheme="minorHAnsi" w:hAnsiTheme="minorHAnsi" w:cstheme="minorHAnsi"/>
          <w:bCs/>
          <w:iCs/>
          <w:sz w:val="20"/>
          <w:szCs w:val="20"/>
          <w:lang w:val="es-EC"/>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pPr>
        <w:pStyle w:val="64"/>
        <w:numPr>
          <w:ilvl w:val="0"/>
          <w:numId w:val="180"/>
        </w:numPr>
        <w:spacing w:before="60" w:after="60" w:line="240" w:lineRule="auto"/>
        <w:ind w:left="1080"/>
        <w:contextualSpacing w:val="0"/>
        <w:jc w:val="both"/>
        <w:rPr>
          <w:rFonts w:eastAsia="Times New Roman" w:asciiTheme="minorHAnsi" w:hAnsiTheme="minorHAnsi" w:cstheme="minorHAnsi"/>
          <w:bCs/>
          <w:iCs/>
          <w:sz w:val="20"/>
          <w:szCs w:val="20"/>
          <w:lang w:val="es-EC"/>
        </w:rPr>
      </w:pPr>
      <w:r>
        <w:rPr>
          <w:rFonts w:eastAsia="Times New Roman" w:asciiTheme="minorHAnsi" w:hAnsiTheme="minorHAnsi" w:cstheme="minorHAnsi"/>
          <w:bCs/>
          <w:iCs/>
          <w:sz w:val="20"/>
          <w:szCs w:val="20"/>
          <w:lang w:val="es-EC"/>
        </w:rPr>
        <w:t>emitir una amonestación a la firma, entidad o individuo en el formato de una carta formal de censura por su conducta;</w:t>
      </w:r>
    </w:p>
    <w:p>
      <w:pPr>
        <w:pStyle w:val="64"/>
        <w:numPr>
          <w:ilvl w:val="0"/>
          <w:numId w:val="180"/>
        </w:numPr>
        <w:spacing w:before="60" w:after="60" w:line="240" w:lineRule="auto"/>
        <w:ind w:left="1080"/>
        <w:contextualSpacing w:val="0"/>
        <w:jc w:val="both"/>
        <w:rPr>
          <w:rFonts w:eastAsia="Times New Roman" w:asciiTheme="minorHAnsi" w:hAnsiTheme="minorHAnsi" w:cstheme="minorHAnsi"/>
          <w:bCs/>
          <w:iCs/>
          <w:sz w:val="20"/>
          <w:szCs w:val="20"/>
          <w:lang w:val="es-EC"/>
        </w:rPr>
      </w:pPr>
      <w:r>
        <w:rPr>
          <w:rFonts w:eastAsia="Times New Roman" w:asciiTheme="minorHAnsi" w:hAnsiTheme="minorHAnsi" w:cstheme="minorHAnsi"/>
          <w:bCs/>
          <w:iCs/>
          <w:sz w:val="20"/>
          <w:szCs w:val="20"/>
          <w:lang w:val="es-EC"/>
        </w:rPr>
        <w:t>declarar a una firma, entidad o individuo inelegible,  en forma permanente o por determinado período de tiempo, para que (i) se le adjudiquen contratos o participe en actividades financiadas por el Banco, y (ii) sea designado</w:t>
      </w:r>
      <w:r>
        <w:rPr>
          <w:rFonts w:asciiTheme="minorHAnsi" w:hAnsiTheme="minorHAnsi" w:cstheme="minorHAnsi"/>
          <w:iCs/>
          <w:sz w:val="20"/>
          <w:szCs w:val="20"/>
          <w:lang w:val="es-EC"/>
        </w:rPr>
        <w:footnoteReference w:id="7"/>
      </w:r>
      <w:r>
        <w:rPr>
          <w:rFonts w:eastAsia="Times New Roman" w:asciiTheme="minorHAnsi" w:hAnsiTheme="minorHAnsi" w:cstheme="minorHAnsi"/>
          <w:bCs/>
          <w:iCs/>
          <w:sz w:val="20"/>
          <w:szCs w:val="20"/>
          <w:lang w:val="es-EC"/>
        </w:rPr>
        <w:t xml:space="preserve"> subconsultor, subcontratista o proveedor de bienes o servicios por otra firma elegible a la que se adjudique un contrato para ejecutar actividades financiadas por el Banco; </w:t>
      </w:r>
    </w:p>
    <w:p>
      <w:pPr>
        <w:pStyle w:val="64"/>
        <w:numPr>
          <w:ilvl w:val="0"/>
          <w:numId w:val="180"/>
        </w:numPr>
        <w:spacing w:before="60" w:after="60" w:line="240" w:lineRule="auto"/>
        <w:ind w:left="1080"/>
        <w:contextualSpacing w:val="0"/>
        <w:jc w:val="both"/>
        <w:rPr>
          <w:rFonts w:eastAsia="Times New Roman" w:asciiTheme="minorHAnsi" w:hAnsiTheme="minorHAnsi" w:cstheme="minorHAnsi"/>
          <w:bCs/>
          <w:iCs/>
          <w:sz w:val="20"/>
          <w:szCs w:val="20"/>
          <w:lang w:val="es-EC"/>
        </w:rPr>
      </w:pPr>
      <w:r>
        <w:rPr>
          <w:rFonts w:eastAsia="Times New Roman" w:asciiTheme="minorHAnsi" w:hAnsiTheme="minorHAnsi" w:cstheme="minorHAnsi"/>
          <w:bCs/>
          <w:iCs/>
          <w:sz w:val="20"/>
          <w:szCs w:val="20"/>
          <w:lang w:val="es-EC"/>
        </w:rPr>
        <w:t>remitir el tema a las autoridades pertinentes encargadas de hacer cumplir las leyes; y/o;</w:t>
      </w:r>
    </w:p>
    <w:p>
      <w:pPr>
        <w:pStyle w:val="64"/>
        <w:numPr>
          <w:ilvl w:val="0"/>
          <w:numId w:val="180"/>
        </w:numPr>
        <w:spacing w:before="60" w:after="60" w:line="240" w:lineRule="auto"/>
        <w:ind w:left="1080"/>
        <w:contextualSpacing w:val="0"/>
        <w:jc w:val="both"/>
        <w:rPr>
          <w:rFonts w:eastAsia="Times New Roman" w:asciiTheme="minorHAnsi" w:hAnsiTheme="minorHAnsi" w:cstheme="minorHAnsi"/>
          <w:sz w:val="20"/>
          <w:szCs w:val="20"/>
          <w:lang w:val="es-EC"/>
        </w:rPr>
      </w:pPr>
      <w:r>
        <w:rPr>
          <w:rFonts w:eastAsia="Times New Roman" w:asciiTheme="minorHAnsi" w:hAnsiTheme="minorHAnsi" w:cstheme="minorHAnsi"/>
          <w:bCs/>
          <w:iCs/>
          <w:sz w:val="20"/>
          <w:szCs w:val="20"/>
          <w:lang w:val="es-EC"/>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Pr>
          <w:rFonts w:eastAsia="Times New Roman" w:asciiTheme="minorHAnsi" w:hAnsiTheme="minorHAnsi" w:cstheme="minorHAnsi"/>
          <w:sz w:val="20"/>
          <w:szCs w:val="20"/>
          <w:lang w:val="es-EC"/>
        </w:rPr>
        <w:t>.</w:t>
      </w:r>
    </w:p>
    <w:p>
      <w:pPr>
        <w:numPr>
          <w:ilvl w:val="0"/>
          <w:numId w:val="177"/>
        </w:numPr>
        <w:spacing w:before="60" w:after="60" w:line="240" w:lineRule="auto"/>
        <w:ind w:left="720"/>
        <w:jc w:val="both"/>
        <w:rPr>
          <w:rFonts w:asciiTheme="minorHAnsi" w:hAnsiTheme="minorHAnsi" w:cstheme="minorHAnsi"/>
          <w:sz w:val="20"/>
          <w:szCs w:val="20"/>
          <w:lang w:val="es-EC"/>
        </w:rPr>
      </w:pPr>
      <w:r>
        <w:rPr>
          <w:rFonts w:asciiTheme="minorHAnsi" w:hAnsiTheme="minorHAnsi" w:cstheme="minorHAnsi"/>
          <w:bCs/>
          <w:sz w:val="20"/>
          <w:szCs w:val="20"/>
          <w:lang w:val="es-EC"/>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Pr>
          <w:rFonts w:asciiTheme="minorHAnsi" w:hAnsiTheme="minorHAnsi" w:cstheme="minorHAnsi"/>
          <w:sz w:val="20"/>
          <w:szCs w:val="20"/>
          <w:lang w:val="es-EC"/>
        </w:rPr>
        <w:t>.</w:t>
      </w:r>
    </w:p>
    <w:p>
      <w:pPr>
        <w:numPr>
          <w:ilvl w:val="0"/>
          <w:numId w:val="177"/>
        </w:numPr>
        <w:spacing w:before="60" w:after="60" w:line="240" w:lineRule="auto"/>
        <w:ind w:left="720"/>
        <w:jc w:val="both"/>
        <w:rPr>
          <w:rFonts w:asciiTheme="minorHAnsi" w:hAnsiTheme="minorHAnsi" w:cstheme="minorHAnsi"/>
          <w:sz w:val="20"/>
          <w:szCs w:val="20"/>
          <w:lang w:val="es-EC"/>
        </w:rPr>
      </w:pPr>
      <w:r>
        <w:rPr>
          <w:rFonts w:asciiTheme="minorHAnsi" w:hAnsiTheme="minorHAnsi" w:cstheme="minorHAnsi"/>
          <w:bCs/>
          <w:sz w:val="20"/>
          <w:szCs w:val="20"/>
          <w:lang w:val="es-EC"/>
        </w:rPr>
        <w:t>La imposición de cualquier medida que sea tomada por el Banco de conformidad con las provisiones referidas anteriormente será de carácter público</w:t>
      </w:r>
      <w:r>
        <w:rPr>
          <w:rFonts w:asciiTheme="minorHAnsi" w:hAnsiTheme="minorHAnsi" w:cstheme="minorHAnsi"/>
          <w:sz w:val="20"/>
          <w:szCs w:val="20"/>
          <w:lang w:val="es-EC"/>
        </w:rPr>
        <w:t>.</w:t>
      </w:r>
    </w:p>
    <w:p>
      <w:pPr>
        <w:numPr>
          <w:ilvl w:val="0"/>
          <w:numId w:val="177"/>
        </w:numPr>
        <w:spacing w:before="60" w:after="60" w:line="240" w:lineRule="auto"/>
        <w:ind w:left="720"/>
        <w:jc w:val="both"/>
        <w:rPr>
          <w:rFonts w:asciiTheme="minorHAnsi" w:hAnsiTheme="minorHAnsi" w:cstheme="minorHAnsi"/>
          <w:sz w:val="20"/>
          <w:szCs w:val="20"/>
          <w:lang w:val="es-EC"/>
        </w:rPr>
      </w:pPr>
      <w:r>
        <w:rPr>
          <w:rFonts w:asciiTheme="minorHAnsi" w:hAnsiTheme="minorHAnsi" w:cstheme="minorHAnsi"/>
          <w:bCs/>
          <w:sz w:val="20"/>
          <w:szCs w:val="20"/>
          <w:lang w:val="es-EC"/>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Pr>
          <w:rFonts w:asciiTheme="minorHAnsi" w:hAnsiTheme="minorHAnsi" w:cstheme="minorHAnsi"/>
          <w:sz w:val="20"/>
          <w:szCs w:val="20"/>
          <w:lang w:val="es-EC"/>
        </w:rPr>
        <w:t>.</w:t>
      </w:r>
    </w:p>
    <w:p>
      <w:pPr>
        <w:numPr>
          <w:ilvl w:val="0"/>
          <w:numId w:val="177"/>
        </w:numPr>
        <w:spacing w:before="60" w:after="60" w:line="240" w:lineRule="auto"/>
        <w:ind w:left="720"/>
        <w:jc w:val="both"/>
        <w:rPr>
          <w:rFonts w:asciiTheme="minorHAnsi" w:hAnsiTheme="minorHAnsi" w:cstheme="minorHAnsi"/>
          <w:sz w:val="20"/>
          <w:szCs w:val="20"/>
          <w:lang w:val="es-EC"/>
        </w:rPr>
      </w:pPr>
      <w:r>
        <w:rPr>
          <w:rFonts w:asciiTheme="minorHAnsi" w:hAnsiTheme="minorHAnsi" w:cstheme="minorHAnsi"/>
          <w:bCs/>
          <w:sz w:val="20"/>
          <w:szCs w:val="20"/>
          <w:lang w:val="es-EC"/>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Pr>
          <w:rFonts w:asciiTheme="minorHAnsi" w:hAnsiTheme="minorHAnsi" w:cstheme="minorHAnsi"/>
          <w:sz w:val="20"/>
          <w:szCs w:val="20"/>
          <w:lang w:val="es-EC"/>
        </w:rPr>
        <w:t>.</w:t>
      </w:r>
    </w:p>
    <w:p>
      <w:pPr>
        <w:numPr>
          <w:ilvl w:val="0"/>
          <w:numId w:val="177"/>
        </w:numPr>
        <w:spacing w:before="60" w:after="60" w:line="240" w:lineRule="auto"/>
        <w:ind w:left="720"/>
        <w:jc w:val="both"/>
        <w:rPr>
          <w:rFonts w:asciiTheme="minorHAnsi" w:hAnsiTheme="minorHAnsi" w:cstheme="minorHAnsi"/>
          <w:sz w:val="20"/>
          <w:szCs w:val="20"/>
          <w:lang w:val="es-EC"/>
        </w:rPr>
      </w:pPr>
      <w:r>
        <w:rPr>
          <w:rFonts w:asciiTheme="minorHAnsi" w:hAnsiTheme="minorHAnsi" w:cstheme="minorHAnsi"/>
          <w:bCs/>
          <w:sz w:val="20"/>
          <w:szCs w:val="20"/>
          <w:lang w:val="es-EC"/>
        </w:rPr>
        <w:t>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Pr>
          <w:rFonts w:asciiTheme="minorHAnsi" w:hAnsiTheme="minorHAnsi" w:cstheme="minorHAnsi"/>
          <w:sz w:val="20"/>
          <w:szCs w:val="20"/>
          <w:lang w:val="es-EC"/>
        </w:rPr>
        <w:t>.</w:t>
      </w:r>
    </w:p>
    <w:p>
      <w:pPr>
        <w:numPr>
          <w:ilvl w:val="0"/>
          <w:numId w:val="176"/>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bCs/>
          <w:sz w:val="20"/>
          <w:szCs w:val="20"/>
          <w:lang w:val="es-EC"/>
        </w:rPr>
        <w:t>Los Contratistas declaran y garantizan</w:t>
      </w:r>
      <w:r>
        <w:rPr>
          <w:rFonts w:asciiTheme="minorHAnsi" w:hAnsiTheme="minorHAnsi" w:cstheme="minorHAnsi"/>
          <w:sz w:val="20"/>
          <w:szCs w:val="20"/>
          <w:lang w:val="es-EC"/>
        </w:rPr>
        <w:t>:</w:t>
      </w:r>
    </w:p>
    <w:p>
      <w:pPr>
        <w:numPr>
          <w:ilvl w:val="0"/>
          <w:numId w:val="181"/>
        </w:numPr>
        <w:spacing w:before="60" w:after="60" w:line="240" w:lineRule="auto"/>
        <w:ind w:left="720"/>
        <w:jc w:val="both"/>
        <w:rPr>
          <w:rFonts w:asciiTheme="minorHAnsi" w:hAnsiTheme="minorHAnsi" w:cstheme="minorHAnsi"/>
          <w:sz w:val="20"/>
          <w:szCs w:val="20"/>
          <w:lang w:val="es-EC"/>
        </w:rPr>
      </w:pPr>
      <w:r>
        <w:rPr>
          <w:rFonts w:asciiTheme="minorHAnsi" w:hAnsiTheme="minorHAnsi" w:cstheme="minorHAnsi"/>
          <w:bCs/>
          <w:iCs/>
          <w:sz w:val="20"/>
          <w:szCs w:val="20"/>
          <w:lang w:val="es-EC"/>
        </w:rPr>
        <w:t>que han leído y entendido las definiciones de Prácticas Prohibidas del Banco  y las sanciones aplicables a la comisión de las mismas que constan de este documento y se obligan a observar las normas pertinentes sobre las mismas</w:t>
      </w:r>
      <w:r>
        <w:rPr>
          <w:rFonts w:asciiTheme="minorHAnsi" w:hAnsiTheme="minorHAnsi" w:cstheme="minorHAnsi"/>
          <w:sz w:val="20"/>
          <w:szCs w:val="20"/>
          <w:lang w:val="es-EC"/>
        </w:rPr>
        <w:t>;</w:t>
      </w:r>
    </w:p>
    <w:p>
      <w:pPr>
        <w:numPr>
          <w:ilvl w:val="0"/>
          <w:numId w:val="181"/>
        </w:numPr>
        <w:spacing w:before="60" w:after="60" w:line="240" w:lineRule="auto"/>
        <w:ind w:left="720"/>
        <w:jc w:val="both"/>
        <w:rPr>
          <w:rFonts w:asciiTheme="minorHAnsi" w:hAnsiTheme="minorHAnsi" w:cstheme="minorHAnsi"/>
          <w:bCs/>
          <w:iCs/>
          <w:sz w:val="20"/>
          <w:szCs w:val="20"/>
          <w:lang w:val="es-EC"/>
        </w:rPr>
      </w:pPr>
      <w:r>
        <w:rPr>
          <w:rFonts w:asciiTheme="minorHAnsi" w:hAnsiTheme="minorHAnsi" w:cstheme="minorHAnsi"/>
          <w:bCs/>
          <w:iCs/>
          <w:sz w:val="20"/>
          <w:szCs w:val="20"/>
          <w:lang w:val="es-EC"/>
        </w:rPr>
        <w:t>que no han incurrido en ninguna Práctica Prohibida descrita en este documento;</w:t>
      </w:r>
    </w:p>
    <w:p>
      <w:pPr>
        <w:numPr>
          <w:ilvl w:val="0"/>
          <w:numId w:val="181"/>
        </w:numPr>
        <w:spacing w:before="60" w:after="60" w:line="240" w:lineRule="auto"/>
        <w:ind w:left="720"/>
        <w:jc w:val="both"/>
        <w:rPr>
          <w:rFonts w:asciiTheme="minorHAnsi" w:hAnsiTheme="minorHAnsi" w:cstheme="minorHAnsi"/>
          <w:bCs/>
          <w:iCs/>
          <w:sz w:val="20"/>
          <w:szCs w:val="20"/>
          <w:lang w:val="es-EC"/>
        </w:rPr>
      </w:pPr>
      <w:r>
        <w:rPr>
          <w:rFonts w:asciiTheme="minorHAnsi" w:hAnsiTheme="minorHAnsi" w:cstheme="minorHAnsi"/>
          <w:bCs/>
          <w:iCs/>
          <w:sz w:val="20"/>
          <w:szCs w:val="20"/>
          <w:lang w:val="es-EC"/>
        </w:rPr>
        <w:t>que no han tergiversado ni ocultado ningún hecho sustancial durante los procesos de selección, negociación, adjudicación o ejecución de un contrato;</w:t>
      </w:r>
    </w:p>
    <w:p>
      <w:pPr>
        <w:numPr>
          <w:ilvl w:val="0"/>
          <w:numId w:val="181"/>
        </w:numPr>
        <w:spacing w:before="60" w:after="60" w:line="240" w:lineRule="auto"/>
        <w:ind w:left="720"/>
        <w:jc w:val="both"/>
        <w:rPr>
          <w:rFonts w:asciiTheme="minorHAnsi" w:hAnsiTheme="minorHAnsi" w:cstheme="minorHAnsi"/>
          <w:bCs/>
          <w:iCs/>
          <w:sz w:val="20"/>
          <w:szCs w:val="20"/>
          <w:lang w:val="es-EC"/>
        </w:rPr>
      </w:pPr>
      <w:r>
        <w:rPr>
          <w:rFonts w:asciiTheme="minorHAnsi" w:hAnsiTheme="minorHAnsi" w:cstheme="minorHAnsi"/>
          <w:bCs/>
          <w:iCs/>
          <w:sz w:val="20"/>
          <w:szCs w:val="20"/>
          <w:lang w:val="es-EC"/>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pPr>
        <w:numPr>
          <w:ilvl w:val="0"/>
          <w:numId w:val="181"/>
        </w:numPr>
        <w:spacing w:before="60" w:after="60" w:line="240" w:lineRule="auto"/>
        <w:ind w:left="720"/>
        <w:jc w:val="both"/>
        <w:rPr>
          <w:rFonts w:asciiTheme="minorHAnsi" w:hAnsiTheme="minorHAnsi" w:cstheme="minorHAnsi"/>
          <w:bCs/>
          <w:iCs/>
          <w:sz w:val="20"/>
          <w:szCs w:val="20"/>
          <w:lang w:val="es-EC"/>
        </w:rPr>
      </w:pPr>
      <w:r>
        <w:rPr>
          <w:rFonts w:asciiTheme="minorHAnsi" w:hAnsiTheme="minorHAnsi" w:cstheme="minorHAnsi"/>
          <w:bCs/>
          <w:iCs/>
          <w:sz w:val="20"/>
          <w:szCs w:val="20"/>
          <w:lang w:val="es-EC"/>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pPr>
        <w:numPr>
          <w:ilvl w:val="0"/>
          <w:numId w:val="181"/>
        </w:numPr>
        <w:spacing w:before="60" w:after="60" w:line="240" w:lineRule="auto"/>
        <w:ind w:left="720"/>
        <w:jc w:val="both"/>
        <w:rPr>
          <w:rFonts w:asciiTheme="minorHAnsi" w:hAnsiTheme="minorHAnsi" w:cstheme="minorHAnsi"/>
          <w:bCs/>
          <w:iCs/>
          <w:sz w:val="20"/>
          <w:szCs w:val="20"/>
          <w:lang w:val="es-EC"/>
        </w:rPr>
      </w:pPr>
      <w:r>
        <w:rPr>
          <w:rFonts w:asciiTheme="minorHAnsi" w:hAnsiTheme="minorHAnsi" w:cstheme="minorHAnsi"/>
          <w:bCs/>
          <w:iCs/>
          <w:sz w:val="20"/>
          <w:szCs w:val="20"/>
          <w:lang w:val="es-EC"/>
        </w:rPr>
        <w:t>que han declarado todas las comisiones, honorarios de representantes, pagos por servicios de facilitación o acuerdos para compartir ingresos relacionados con actividades financiadas por el Banco;</w:t>
      </w:r>
    </w:p>
    <w:p>
      <w:pPr>
        <w:numPr>
          <w:ilvl w:val="0"/>
          <w:numId w:val="181"/>
        </w:numPr>
        <w:spacing w:before="60" w:after="60" w:line="240" w:lineRule="auto"/>
        <w:ind w:left="720"/>
        <w:jc w:val="both"/>
        <w:rPr>
          <w:rFonts w:asciiTheme="minorHAnsi" w:hAnsiTheme="minorHAnsi" w:cstheme="minorHAnsi"/>
          <w:sz w:val="20"/>
          <w:szCs w:val="20"/>
          <w:lang w:val="es-EC"/>
        </w:rPr>
      </w:pPr>
      <w:r>
        <w:rPr>
          <w:rFonts w:asciiTheme="minorHAnsi" w:hAnsiTheme="minorHAnsi" w:cstheme="minorHAnsi"/>
          <w:bCs/>
          <w:iCs/>
          <w:sz w:val="20"/>
          <w:szCs w:val="20"/>
          <w:lang w:val="es-EC"/>
        </w:rPr>
        <w:t>que reconocen que el incumplimiento de cualquiera de estas garantías constituye el fundamento para la imposición por el Banco de una o más de las medidas que se describen en la Cláusula 1.1 (b).</w:t>
      </w:r>
    </w:p>
    <w:p>
      <w:pPr>
        <w:spacing w:before="60" w:after="60" w:line="240" w:lineRule="auto"/>
        <w:ind w:left="720"/>
        <w:jc w:val="both"/>
        <w:rPr>
          <w:rFonts w:asciiTheme="minorHAnsi" w:hAnsiTheme="minorHAnsi" w:cstheme="minorHAnsi"/>
          <w:sz w:val="20"/>
          <w:szCs w:val="20"/>
          <w:lang w:val="es-EC"/>
        </w:rPr>
        <w:sectPr>
          <w:headerReference r:id="rId15" w:type="default"/>
          <w:pgSz w:w="12240" w:h="15840"/>
          <w:pgMar w:top="1440" w:right="1440" w:bottom="1440" w:left="1440" w:header="720" w:footer="720" w:gutter="0"/>
          <w:cols w:space="720" w:num="1"/>
          <w:docGrid w:linePitch="360" w:charSpace="0"/>
        </w:sectPr>
      </w:pPr>
    </w:p>
    <w:p>
      <w:pPr>
        <w:pStyle w:val="3"/>
        <w:jc w:val="center"/>
        <w:rPr>
          <w:rFonts w:asciiTheme="minorHAnsi" w:hAnsiTheme="minorHAnsi" w:cstheme="minorHAnsi"/>
          <w:color w:val="auto"/>
          <w:sz w:val="20"/>
          <w:szCs w:val="20"/>
          <w:lang w:val="es-EC"/>
        </w:rPr>
      </w:pPr>
      <w:bookmarkStart w:id="412" w:name="_Toc478103531"/>
      <w:r>
        <w:rPr>
          <w:rFonts w:asciiTheme="minorHAnsi" w:hAnsiTheme="minorHAnsi" w:cstheme="minorHAnsi"/>
          <w:color w:val="auto"/>
          <w:sz w:val="20"/>
          <w:szCs w:val="20"/>
          <w:lang w:val="es-EC"/>
        </w:rPr>
        <w:t>Sección X. Formularios de Contrato</w:t>
      </w:r>
      <w:bookmarkEnd w:id="412"/>
    </w:p>
    <w:p>
      <w:pPr>
        <w:keepNext/>
        <w:keepLines/>
        <w:spacing w:before="240" w:after="0" w:line="240" w:lineRule="auto"/>
        <w:jc w:val="center"/>
        <w:outlineLvl w:val="1"/>
        <w:rPr>
          <w:rFonts w:asciiTheme="minorHAnsi" w:hAnsiTheme="minorHAnsi" w:cstheme="minorHAnsi"/>
          <w:b/>
          <w:sz w:val="20"/>
          <w:szCs w:val="20"/>
          <w:lang w:val="es-EC"/>
        </w:rPr>
      </w:pPr>
      <w:bookmarkStart w:id="413" w:name="_Toc478103532"/>
      <w:bookmarkStart w:id="414" w:name="_Toc348001569"/>
      <w:r>
        <w:rPr>
          <w:rFonts w:asciiTheme="minorHAnsi" w:hAnsiTheme="minorHAnsi" w:cstheme="minorHAnsi"/>
          <w:b/>
          <w:sz w:val="20"/>
          <w:szCs w:val="20"/>
          <w:lang w:val="es-EC"/>
        </w:rPr>
        <w:t>Carta de Aceptación</w:t>
      </w:r>
      <w:bookmarkEnd w:id="413"/>
      <w:bookmarkEnd w:id="414"/>
    </w:p>
    <w:p>
      <w:pPr>
        <w:rPr>
          <w:rFonts w:asciiTheme="minorHAnsi" w:hAnsiTheme="minorHAnsi" w:cstheme="minorHAnsi"/>
          <w:sz w:val="20"/>
          <w:szCs w:val="20"/>
          <w:lang w:val="es-EC"/>
        </w:rPr>
      </w:pPr>
    </w:p>
    <w:p>
      <w:pPr>
        <w:spacing w:before="60" w:after="60" w:line="240" w:lineRule="auto"/>
        <w:jc w:val="center"/>
        <w:rPr>
          <w:rFonts w:asciiTheme="minorHAnsi" w:hAnsiTheme="minorHAnsi" w:cstheme="minorHAnsi"/>
          <w:i/>
          <w:sz w:val="20"/>
          <w:szCs w:val="20"/>
          <w:lang w:val="es-EC"/>
        </w:rPr>
      </w:pPr>
      <w:r>
        <w:rPr>
          <w:rFonts w:asciiTheme="minorHAnsi" w:hAnsiTheme="minorHAnsi" w:cstheme="minorHAnsi"/>
          <w:i/>
          <w:sz w:val="20"/>
          <w:szCs w:val="20"/>
          <w:lang w:val="es-EC"/>
        </w:rPr>
        <w:t>[Papel con membrete del Comprador]</w:t>
      </w:r>
    </w:p>
    <w:p>
      <w:pPr>
        <w:spacing w:before="60" w:after="60" w:line="240" w:lineRule="auto"/>
        <w:rPr>
          <w:rFonts w:asciiTheme="minorHAnsi" w:hAnsiTheme="minorHAnsi" w:cstheme="minorHAnsi"/>
          <w:sz w:val="20"/>
          <w:szCs w:val="20"/>
          <w:lang w:val="es-EC"/>
        </w:rPr>
      </w:pPr>
    </w:p>
    <w:p>
      <w:pPr>
        <w:spacing w:before="60" w:after="60" w:line="240" w:lineRule="auto"/>
        <w:jc w:val="right"/>
        <w:rPr>
          <w:rFonts w:asciiTheme="minorHAnsi" w:hAnsiTheme="minorHAnsi" w:cstheme="minorHAnsi"/>
          <w:sz w:val="20"/>
          <w:szCs w:val="20"/>
          <w:lang w:val="es-EC"/>
        </w:rPr>
      </w:pPr>
      <w:r>
        <w:rPr>
          <w:rFonts w:asciiTheme="minorHAnsi" w:hAnsiTheme="minorHAnsi" w:cstheme="minorHAnsi"/>
          <w:i/>
          <w:sz w:val="20"/>
          <w:szCs w:val="20"/>
          <w:lang w:val="es-EC"/>
        </w:rPr>
        <w:t>[Fecha]</w:t>
      </w: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Para:  </w:t>
      </w:r>
      <w:r>
        <w:rPr>
          <w:rFonts w:asciiTheme="minorHAnsi" w:hAnsiTheme="minorHAnsi" w:cstheme="minorHAnsi"/>
          <w:i/>
          <w:sz w:val="20"/>
          <w:szCs w:val="20"/>
          <w:lang w:val="es-EC"/>
        </w:rPr>
        <w:fldChar w:fldCharType="begin"/>
      </w:r>
      <w:r>
        <w:rPr>
          <w:rFonts w:asciiTheme="minorHAnsi" w:hAnsiTheme="minorHAnsi" w:cstheme="minorHAnsi"/>
          <w:i/>
          <w:sz w:val="20"/>
          <w:szCs w:val="20"/>
          <w:lang w:val="es-EC"/>
        </w:rPr>
        <w:instrText xml:space="preserve">ADVANCE \D 1.90</w:instrText>
      </w:r>
      <w:r>
        <w:rPr>
          <w:rFonts w:asciiTheme="minorHAnsi" w:hAnsiTheme="minorHAnsi" w:cstheme="minorHAnsi"/>
          <w:i/>
          <w:sz w:val="20"/>
          <w:szCs w:val="20"/>
          <w:lang w:val="es-EC"/>
        </w:rPr>
        <w:fldChar w:fldCharType="end"/>
      </w:r>
      <w:r>
        <w:rPr>
          <w:rFonts w:asciiTheme="minorHAnsi" w:hAnsiTheme="minorHAnsi" w:cstheme="minorHAnsi"/>
          <w:i/>
          <w:sz w:val="20"/>
          <w:szCs w:val="20"/>
          <w:lang w:val="es-EC"/>
        </w:rPr>
        <w:t>[nombre y dirección del Proveedor]</w:t>
      </w:r>
    </w:p>
    <w:p>
      <w:pPr>
        <w:spacing w:before="60" w:after="60" w:line="240" w:lineRule="auto"/>
        <w:ind w:right="288"/>
        <w:rPr>
          <w:rFonts w:asciiTheme="minorHAnsi" w:hAnsiTheme="minorHAnsi" w:cstheme="minorHAnsi"/>
          <w:sz w:val="20"/>
          <w:szCs w:val="20"/>
          <w:lang w:val="es-EC"/>
        </w:rPr>
      </w:pPr>
      <w:r>
        <w:rPr>
          <w:rFonts w:asciiTheme="minorHAnsi" w:hAnsiTheme="minorHAnsi" w:cstheme="minorHAnsi"/>
          <w:sz w:val="20"/>
          <w:szCs w:val="20"/>
          <w:lang w:val="es-EC"/>
        </w:rPr>
        <w:t xml:space="preserve">Asunto: </w:t>
      </w:r>
      <w:r>
        <w:rPr>
          <w:rFonts w:asciiTheme="minorHAnsi" w:hAnsiTheme="minorHAnsi" w:cstheme="minorHAnsi"/>
          <w:b/>
          <w:bCs/>
          <w:i/>
          <w:sz w:val="20"/>
          <w:szCs w:val="20"/>
          <w:lang w:val="es-EC"/>
        </w:rPr>
        <w:t xml:space="preserve">Notificación de Adjudicación de Contrato No. </w:t>
      </w:r>
      <w:r>
        <w:rPr>
          <w:rFonts w:asciiTheme="minorHAnsi" w:hAnsiTheme="minorHAnsi" w:cstheme="minorHAnsi"/>
          <w:i/>
          <w:sz w:val="20"/>
          <w:szCs w:val="20"/>
          <w:lang w:val="es-EC"/>
        </w:rPr>
        <w:t>[Indicar número]</w:t>
      </w:r>
    </w:p>
    <w:p>
      <w:pPr>
        <w:pStyle w:val="30"/>
        <w:spacing w:before="60" w:after="60" w:line="240" w:lineRule="auto"/>
        <w:ind w:left="180" w:right="288"/>
        <w:jc w:val="both"/>
        <w:rPr>
          <w:rFonts w:asciiTheme="minorHAnsi" w:hAnsiTheme="minorHAnsi" w:cstheme="minorHAnsi"/>
          <w:iCs/>
          <w:sz w:val="20"/>
          <w:szCs w:val="20"/>
          <w:lang w:val="es-EC"/>
        </w:rPr>
      </w:pPr>
    </w:p>
    <w:p>
      <w:pPr>
        <w:pStyle w:val="30"/>
        <w:spacing w:before="60" w:after="60" w:line="240" w:lineRule="auto"/>
        <w:ind w:left="0" w:right="288"/>
        <w:jc w:val="both"/>
        <w:rPr>
          <w:rFonts w:asciiTheme="minorHAnsi" w:hAnsiTheme="minorHAnsi" w:cstheme="minorHAnsi"/>
          <w:iCs/>
          <w:sz w:val="20"/>
          <w:szCs w:val="20"/>
          <w:lang w:val="es-EC"/>
        </w:rPr>
      </w:pPr>
      <w:r>
        <w:rPr>
          <w:rFonts w:asciiTheme="minorHAnsi" w:hAnsiTheme="minorHAnsi" w:cstheme="minorHAnsi"/>
          <w:iCs/>
          <w:sz w:val="20"/>
          <w:szCs w:val="20"/>
          <w:lang w:val="es-EC"/>
        </w:rPr>
        <w:t xml:space="preserve">Le notificamos por la presente comunicación que su Oferta  de fecha </w:t>
      </w:r>
      <w:r>
        <w:rPr>
          <w:rFonts w:asciiTheme="minorHAnsi" w:hAnsiTheme="minorHAnsi" w:cstheme="minorHAnsi"/>
          <w:bCs/>
          <w:i/>
          <w:sz w:val="20"/>
          <w:szCs w:val="20"/>
          <w:lang w:val="es-EC"/>
        </w:rPr>
        <w:t xml:space="preserve">[indicar fecha] </w:t>
      </w:r>
      <w:r>
        <w:rPr>
          <w:rFonts w:asciiTheme="minorHAnsi" w:hAnsiTheme="minorHAnsi" w:cstheme="minorHAnsi"/>
          <w:iCs/>
          <w:sz w:val="20"/>
          <w:szCs w:val="20"/>
          <w:lang w:val="es-EC"/>
        </w:rPr>
        <w:t xml:space="preserve">para la ejecución de </w:t>
      </w:r>
      <w:r>
        <w:rPr>
          <w:rFonts w:asciiTheme="minorHAnsi" w:hAnsiTheme="minorHAnsi" w:cstheme="minorHAnsi"/>
          <w:i/>
          <w:iCs/>
          <w:sz w:val="20"/>
          <w:szCs w:val="20"/>
          <w:lang w:val="es-EC"/>
        </w:rPr>
        <w:t>[indicar nombre y número del Contrato, conforme aparece en las CEC</w:t>
      </w:r>
      <w:r>
        <w:rPr>
          <w:rFonts w:asciiTheme="minorHAnsi" w:hAnsiTheme="minorHAnsi" w:cstheme="minorHAnsi"/>
          <w:bCs/>
          <w:i/>
          <w:sz w:val="20"/>
          <w:szCs w:val="20"/>
          <w:lang w:val="es-EC"/>
        </w:rPr>
        <w:t>]</w:t>
      </w:r>
      <w:r>
        <w:rPr>
          <w:rFonts w:asciiTheme="minorHAnsi" w:hAnsiTheme="minorHAnsi" w:cstheme="minorHAnsi"/>
          <w:iCs/>
          <w:sz w:val="20"/>
          <w:szCs w:val="20"/>
          <w:lang w:val="es-EC"/>
        </w:rPr>
        <w:t xml:space="preserve"> por el Monto Contractual Aceptado de valor equivalente a </w:t>
      </w:r>
      <w:r>
        <w:rPr>
          <w:rFonts w:asciiTheme="minorHAnsi" w:hAnsiTheme="minorHAnsi" w:cstheme="minorHAnsi"/>
          <w:bCs/>
          <w:i/>
          <w:sz w:val="20"/>
          <w:szCs w:val="20"/>
          <w:lang w:val="es-EC"/>
        </w:rPr>
        <w:t xml:space="preserve">[indicar el monto en palabras] </w:t>
      </w:r>
      <w:r>
        <w:rPr>
          <w:rFonts w:asciiTheme="minorHAnsi" w:hAnsiTheme="minorHAnsi" w:cstheme="minorHAnsi"/>
          <w:bCs/>
          <w:sz w:val="20"/>
          <w:szCs w:val="20"/>
          <w:lang w:val="es-EC"/>
        </w:rPr>
        <w:t>(</w:t>
      </w:r>
      <w:r>
        <w:rPr>
          <w:rFonts w:asciiTheme="minorHAnsi" w:hAnsiTheme="minorHAnsi" w:cstheme="minorHAnsi"/>
          <w:bCs/>
          <w:i/>
          <w:sz w:val="20"/>
          <w:szCs w:val="20"/>
          <w:lang w:val="es-EC"/>
        </w:rPr>
        <w:t>[indicar el monto en números]</w:t>
      </w:r>
      <w:r>
        <w:rPr>
          <w:rFonts w:asciiTheme="minorHAnsi" w:hAnsiTheme="minorHAnsi" w:cstheme="minorHAnsi"/>
          <w:bCs/>
          <w:sz w:val="20"/>
          <w:szCs w:val="20"/>
          <w:lang w:val="es-EC"/>
        </w:rPr>
        <w:t>)</w:t>
      </w:r>
      <w:r>
        <w:rPr>
          <w:rFonts w:asciiTheme="minorHAnsi" w:hAnsiTheme="minorHAnsi" w:cstheme="minorHAnsi"/>
          <w:iCs/>
          <w:sz w:val="20"/>
          <w:szCs w:val="20"/>
          <w:lang w:val="es-EC"/>
        </w:rPr>
        <w:t>, con las rectificaciones y modificaciones que se hayan hecho de conformidad con las Instrucciones a los Oferentes, ha sido aceptada por nuestro representante.</w:t>
      </w:r>
    </w:p>
    <w:p>
      <w:pPr>
        <w:pStyle w:val="30"/>
        <w:spacing w:before="60" w:after="60" w:line="240" w:lineRule="auto"/>
        <w:ind w:left="0" w:right="288"/>
        <w:jc w:val="both"/>
        <w:rPr>
          <w:rFonts w:asciiTheme="minorHAnsi" w:hAnsiTheme="minorHAnsi" w:cstheme="minorHAnsi"/>
          <w:iCs/>
          <w:sz w:val="20"/>
          <w:szCs w:val="20"/>
          <w:lang w:val="es-EC"/>
        </w:rPr>
      </w:pPr>
    </w:p>
    <w:p>
      <w:pPr>
        <w:pStyle w:val="30"/>
        <w:spacing w:before="60" w:after="60" w:line="240" w:lineRule="auto"/>
        <w:ind w:left="0" w:right="288"/>
        <w:jc w:val="both"/>
        <w:rPr>
          <w:rFonts w:asciiTheme="minorHAnsi" w:hAnsiTheme="minorHAnsi" w:cstheme="minorHAnsi"/>
          <w:iCs/>
          <w:sz w:val="20"/>
          <w:szCs w:val="20"/>
          <w:lang w:val="es-EC"/>
        </w:rPr>
      </w:pPr>
      <w:r>
        <w:rPr>
          <w:rFonts w:asciiTheme="minorHAnsi" w:hAnsiTheme="minorHAnsi" w:cstheme="minorHAnsi"/>
          <w:iCs/>
          <w:sz w:val="20"/>
          <w:szCs w:val="20"/>
          <w:lang w:val="es-EC"/>
        </w:rPr>
        <w:t>Sírvase suministrar la Garantía de Cumplimiento dentro de un plazo de 28 días de conformidad con las Condiciones Contractuales, usando para ello uno de los Formularios de Garantía de Cumplimiento que se incluyen en la Sección X del Documento de Licitación, Anexo a las Condiciones Especiales – Formularios del Contrato.</w:t>
      </w:r>
    </w:p>
    <w:p>
      <w:pPr>
        <w:pStyle w:val="16"/>
        <w:tabs>
          <w:tab w:val="clear" w:pos="9000"/>
          <w:tab w:val="clear" w:pos="9360"/>
        </w:tabs>
        <w:suppressAutoHyphens w:val="0"/>
        <w:spacing w:before="60" w:after="60"/>
        <w:rPr>
          <w:rFonts w:asciiTheme="minorHAnsi" w:hAnsiTheme="minorHAnsi" w:cstheme="minorHAnsi"/>
          <w:sz w:val="20"/>
          <w:lang w:val="es-EC"/>
        </w:rPr>
      </w:pP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Firma autorizada: </w:t>
      </w:r>
      <w:r>
        <w:rPr>
          <w:rFonts w:asciiTheme="minorHAnsi" w:hAnsiTheme="minorHAnsi" w:cstheme="minorHAnsi"/>
          <w:sz w:val="20"/>
          <w:szCs w:val="20"/>
          <w:u w:val="single"/>
          <w:lang w:val="es-EC"/>
        </w:rPr>
        <w:t>______________________________________________</w:t>
      </w: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Nombre y cargo del firmante: </w:t>
      </w:r>
      <w:r>
        <w:rPr>
          <w:rFonts w:asciiTheme="minorHAnsi" w:hAnsiTheme="minorHAnsi" w:cstheme="minorHAnsi"/>
          <w:sz w:val="20"/>
          <w:szCs w:val="20"/>
          <w:u w:val="single"/>
          <w:lang w:val="es-EC"/>
        </w:rPr>
        <w:t>_______________________________________</w:t>
      </w: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Nombre del Comprador: </w:t>
      </w:r>
      <w:r>
        <w:rPr>
          <w:rFonts w:asciiTheme="minorHAnsi" w:hAnsiTheme="minorHAnsi" w:cstheme="minorHAnsi"/>
          <w:sz w:val="20"/>
          <w:szCs w:val="20"/>
          <w:u w:val="single"/>
          <w:lang w:val="es-EC"/>
        </w:rPr>
        <w:t>_______________________________________</w:t>
      </w:r>
    </w:p>
    <w:p>
      <w:pPr>
        <w:spacing w:before="60" w:after="60" w:line="240" w:lineRule="auto"/>
        <w:rPr>
          <w:rFonts w:asciiTheme="minorHAnsi" w:hAnsiTheme="minorHAnsi" w:cstheme="minorHAnsi"/>
          <w:sz w:val="20"/>
          <w:szCs w:val="20"/>
          <w:lang w:val="es-EC"/>
        </w:rPr>
      </w:pPr>
    </w:p>
    <w:p>
      <w:pPr>
        <w:spacing w:before="60" w:after="60" w:line="240" w:lineRule="auto"/>
        <w:rPr>
          <w:rFonts w:asciiTheme="minorHAnsi" w:hAnsiTheme="minorHAnsi" w:cstheme="minorHAnsi"/>
          <w:b/>
          <w:bCs/>
          <w:sz w:val="20"/>
          <w:szCs w:val="20"/>
          <w:lang w:val="es-EC"/>
        </w:rPr>
      </w:pPr>
      <w:r>
        <w:rPr>
          <w:rFonts w:asciiTheme="minorHAnsi" w:hAnsiTheme="minorHAnsi" w:cstheme="minorHAnsi"/>
          <w:b/>
          <w:bCs/>
          <w:sz w:val="20"/>
          <w:szCs w:val="20"/>
          <w:lang w:val="es-EC"/>
        </w:rPr>
        <w:t>Adjunto: Convenio</w:t>
      </w:r>
    </w:p>
    <w:p>
      <w:pPr>
        <w:spacing w:before="60" w:after="60" w:line="240" w:lineRule="auto"/>
        <w:rPr>
          <w:rFonts w:asciiTheme="minorHAnsi" w:hAnsiTheme="minorHAnsi" w:cstheme="minorHAnsi"/>
          <w:sz w:val="20"/>
          <w:szCs w:val="20"/>
          <w:lang w:val="es-EC"/>
        </w:rPr>
      </w:pPr>
    </w:p>
    <w:p>
      <w:pPr>
        <w:spacing w:before="60" w:after="60" w:line="240" w:lineRule="auto"/>
        <w:rPr>
          <w:rFonts w:asciiTheme="minorHAnsi" w:hAnsiTheme="minorHAnsi" w:cstheme="minorHAnsi"/>
          <w:sz w:val="20"/>
          <w:szCs w:val="20"/>
          <w:lang w:val="es-EC"/>
        </w:rPr>
      </w:pPr>
    </w:p>
    <w:p>
      <w:pPr>
        <w:spacing w:before="60" w:after="60" w:line="240" w:lineRule="auto"/>
        <w:rPr>
          <w:rFonts w:asciiTheme="minorHAnsi" w:hAnsiTheme="minorHAnsi" w:cstheme="minorHAnsi"/>
          <w:b/>
          <w:sz w:val="20"/>
          <w:szCs w:val="20"/>
          <w:lang w:val="es-EC"/>
        </w:rPr>
      </w:pPr>
    </w:p>
    <w:p>
      <w:pPr>
        <w:rPr>
          <w:rFonts w:asciiTheme="minorHAnsi" w:hAnsiTheme="minorHAnsi" w:cstheme="minorHAnsi"/>
          <w:b/>
          <w:sz w:val="20"/>
          <w:szCs w:val="20"/>
          <w:lang w:val="es-EC"/>
        </w:rPr>
      </w:pPr>
      <w:r>
        <w:rPr>
          <w:rFonts w:asciiTheme="minorHAnsi" w:hAnsiTheme="minorHAnsi" w:cstheme="minorHAnsi"/>
          <w:b/>
          <w:sz w:val="20"/>
          <w:szCs w:val="20"/>
          <w:lang w:val="es-EC"/>
        </w:rPr>
        <w:br w:type="page"/>
      </w:r>
    </w:p>
    <w:p>
      <w:pPr>
        <w:keepNext/>
        <w:keepLines/>
        <w:spacing w:before="240" w:after="0" w:line="240" w:lineRule="auto"/>
        <w:jc w:val="center"/>
        <w:outlineLvl w:val="1"/>
        <w:rPr>
          <w:rFonts w:asciiTheme="minorHAnsi" w:hAnsiTheme="minorHAnsi" w:cstheme="minorHAnsi"/>
          <w:b/>
          <w:sz w:val="20"/>
          <w:szCs w:val="20"/>
          <w:lang w:val="es-EC"/>
        </w:rPr>
      </w:pPr>
      <w:bookmarkStart w:id="415" w:name="_Toc478103533"/>
      <w:r>
        <w:rPr>
          <w:rFonts w:asciiTheme="minorHAnsi" w:hAnsiTheme="minorHAnsi" w:cstheme="minorHAnsi"/>
          <w:b/>
          <w:sz w:val="20"/>
          <w:szCs w:val="20"/>
          <w:lang w:val="es-EC"/>
        </w:rPr>
        <w:t>Convenio</w:t>
      </w:r>
      <w:bookmarkEnd w:id="415"/>
    </w:p>
    <w:p>
      <w:pPr>
        <w:tabs>
          <w:tab w:val="left" w:pos="540"/>
        </w:tabs>
        <w:spacing w:before="60" w:after="60" w:line="240" w:lineRule="auto"/>
        <w:rPr>
          <w:rFonts w:asciiTheme="minorHAnsi" w:hAnsiTheme="minorHAnsi" w:cstheme="minorHAnsi"/>
          <w:i/>
          <w:iCs/>
          <w:sz w:val="20"/>
          <w:szCs w:val="20"/>
          <w:lang w:val="es-EC"/>
        </w:rPr>
      </w:pPr>
      <w:r>
        <w:rPr>
          <w:rFonts w:asciiTheme="minorHAnsi" w:hAnsiTheme="minorHAnsi" w:cstheme="minorHAnsi"/>
          <w:i/>
          <w:iCs/>
          <w:sz w:val="20"/>
          <w:szCs w:val="20"/>
          <w:lang w:val="es-EC"/>
        </w:rPr>
        <w:t>[El Oferente seleccionado completará este formulario de acuerdo con las instrucciones indicadas]</w:t>
      </w:r>
    </w:p>
    <w:p>
      <w:pPr>
        <w:pStyle w:val="88"/>
        <w:keepNext w:val="0"/>
        <w:keepLines w:val="0"/>
        <w:tabs>
          <w:tab w:val="left" w:pos="5400"/>
          <w:tab w:val="left" w:pos="8280"/>
          <w:tab w:val="clear" w:pos="-720"/>
        </w:tabs>
        <w:suppressAutoHyphens w:val="0"/>
        <w:spacing w:before="60" w:after="60"/>
        <w:rPr>
          <w:rFonts w:asciiTheme="minorHAnsi" w:hAnsiTheme="minorHAnsi" w:cstheme="minorHAnsi"/>
          <w:sz w:val="20"/>
          <w:lang w:val="es-EC"/>
        </w:rPr>
      </w:pPr>
    </w:p>
    <w:p>
      <w:pPr>
        <w:tabs>
          <w:tab w:val="left" w:pos="5400"/>
          <w:tab w:val="left" w:pos="8280"/>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ESTE CONVENIO DE CONTRATO se celebra</w:t>
      </w:r>
    </w:p>
    <w:p>
      <w:pPr>
        <w:tabs>
          <w:tab w:val="left" w:pos="720"/>
          <w:tab w:val="left" w:pos="2520"/>
          <w:tab w:val="left" w:pos="6120"/>
          <w:tab w:val="left" w:pos="7200"/>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ab/>
      </w:r>
      <w:r>
        <w:rPr>
          <w:rFonts w:asciiTheme="minorHAnsi" w:hAnsiTheme="minorHAnsi" w:cstheme="minorHAnsi"/>
          <w:sz w:val="20"/>
          <w:szCs w:val="20"/>
          <w:lang w:val="es-EC"/>
        </w:rPr>
        <w:t>El día</w:t>
      </w:r>
      <w:r>
        <w:rPr>
          <w:rFonts w:asciiTheme="minorHAnsi" w:hAnsiTheme="minorHAnsi" w:cstheme="minorHAnsi"/>
          <w:i/>
          <w:sz w:val="20"/>
          <w:szCs w:val="20"/>
          <w:lang w:val="es-EC"/>
        </w:rPr>
        <w:t xml:space="preserve"> [indicar: número] </w:t>
      </w:r>
      <w:r>
        <w:rPr>
          <w:rFonts w:asciiTheme="minorHAnsi" w:hAnsiTheme="minorHAnsi" w:cstheme="minorHAnsi"/>
          <w:sz w:val="20"/>
          <w:szCs w:val="20"/>
          <w:lang w:val="es-EC"/>
        </w:rPr>
        <w:t xml:space="preserve">de </w:t>
      </w:r>
      <w:r>
        <w:rPr>
          <w:rFonts w:asciiTheme="minorHAnsi" w:hAnsiTheme="minorHAnsi" w:cstheme="minorHAnsi"/>
          <w:i/>
          <w:sz w:val="20"/>
          <w:szCs w:val="20"/>
          <w:lang w:val="es-EC"/>
        </w:rPr>
        <w:t xml:space="preserve">[indicar: </w:t>
      </w:r>
      <w:r>
        <w:rPr>
          <w:rFonts w:asciiTheme="minorHAnsi" w:hAnsiTheme="minorHAnsi" w:cstheme="minorHAnsi"/>
          <w:b/>
          <w:i/>
          <w:sz w:val="20"/>
          <w:szCs w:val="20"/>
          <w:lang w:val="es-EC"/>
        </w:rPr>
        <w:t>mes</w:t>
      </w:r>
      <w:r>
        <w:rPr>
          <w:rFonts w:asciiTheme="minorHAnsi" w:hAnsiTheme="minorHAnsi" w:cstheme="minorHAnsi"/>
          <w:i/>
          <w:sz w:val="20"/>
          <w:szCs w:val="20"/>
          <w:lang w:val="es-EC"/>
        </w:rPr>
        <w:t>]</w:t>
      </w:r>
      <w:r>
        <w:rPr>
          <w:rFonts w:asciiTheme="minorHAnsi" w:hAnsiTheme="minorHAnsi" w:cstheme="minorHAnsi"/>
          <w:sz w:val="20"/>
          <w:szCs w:val="20"/>
          <w:lang w:val="es-EC"/>
        </w:rPr>
        <w:t xml:space="preserve">, </w:t>
      </w:r>
      <w:r>
        <w:rPr>
          <w:rFonts w:asciiTheme="minorHAnsi" w:hAnsiTheme="minorHAnsi" w:cstheme="minorHAnsi"/>
          <w:i/>
          <w:sz w:val="20"/>
          <w:szCs w:val="20"/>
          <w:lang w:val="es-EC"/>
        </w:rPr>
        <w:t xml:space="preserve">[indicar: </w:t>
      </w:r>
      <w:r>
        <w:rPr>
          <w:rFonts w:asciiTheme="minorHAnsi" w:hAnsiTheme="minorHAnsi" w:cstheme="minorHAnsi"/>
          <w:b/>
          <w:i/>
          <w:sz w:val="20"/>
          <w:szCs w:val="20"/>
          <w:lang w:val="es-EC"/>
        </w:rPr>
        <w:t>año</w:t>
      </w:r>
      <w:r>
        <w:rPr>
          <w:rFonts w:asciiTheme="minorHAnsi" w:hAnsiTheme="minorHAnsi" w:cstheme="minorHAnsi"/>
          <w:i/>
          <w:sz w:val="20"/>
          <w:szCs w:val="20"/>
          <w:lang w:val="es-EC"/>
        </w:rPr>
        <w:t>]</w:t>
      </w:r>
      <w:r>
        <w:rPr>
          <w:rFonts w:asciiTheme="minorHAnsi" w:hAnsiTheme="minorHAnsi" w:cstheme="minorHAnsi"/>
          <w:sz w:val="20"/>
          <w:szCs w:val="20"/>
          <w:lang w:val="es-EC"/>
        </w:rPr>
        <w:t>.</w:t>
      </w:r>
    </w:p>
    <w:p>
      <w:pPr>
        <w:spacing w:before="60" w:after="60" w:line="240" w:lineRule="auto"/>
        <w:rPr>
          <w:rFonts w:asciiTheme="minorHAnsi" w:hAnsiTheme="minorHAnsi" w:cstheme="minorHAnsi"/>
          <w:sz w:val="20"/>
          <w:szCs w:val="20"/>
          <w:lang w:val="es-EC"/>
        </w:rPr>
      </w:pP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ENTRE</w:t>
      </w:r>
    </w:p>
    <w:p>
      <w:pPr>
        <w:numPr>
          <w:ilvl w:val="0"/>
          <w:numId w:val="182"/>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i/>
          <w:sz w:val="20"/>
          <w:szCs w:val="20"/>
          <w:lang w:val="es-EC"/>
        </w:rPr>
        <w:t xml:space="preserve">[indicar nombre completo del Comprador], una [indicar la descripción de la entidad jurídica, por ejemplo, una Agencia del Ministerio de .... del Gobierno de - indicar el nombre del </w:t>
      </w:r>
      <w:r>
        <w:rPr>
          <w:rFonts w:asciiTheme="minorHAnsi" w:hAnsiTheme="minorHAnsi" w:cstheme="minorHAnsi"/>
          <w:i/>
          <w:iCs/>
          <w:sz w:val="20"/>
          <w:szCs w:val="20"/>
          <w:lang w:val="es-EC"/>
        </w:rPr>
        <w:t>país</w:t>
      </w:r>
      <w:r>
        <w:rPr>
          <w:rFonts w:asciiTheme="minorHAnsi" w:hAnsiTheme="minorHAnsi" w:cstheme="minorHAnsi"/>
          <w:i/>
          <w:sz w:val="20"/>
          <w:szCs w:val="20"/>
          <w:lang w:val="es-EC"/>
        </w:rPr>
        <w:t xml:space="preserve"> del Comprador], o corporación integrada bajo las leyes de [indicar el nombre del </w:t>
      </w:r>
      <w:r>
        <w:rPr>
          <w:rFonts w:asciiTheme="minorHAnsi" w:hAnsiTheme="minorHAnsi" w:cstheme="minorHAnsi"/>
          <w:i/>
          <w:iCs/>
          <w:sz w:val="20"/>
          <w:szCs w:val="20"/>
          <w:lang w:val="es-EC"/>
        </w:rPr>
        <w:t>país</w:t>
      </w:r>
      <w:r>
        <w:rPr>
          <w:rFonts w:asciiTheme="minorHAnsi" w:hAnsiTheme="minorHAnsi" w:cstheme="minorHAnsi"/>
          <w:i/>
          <w:sz w:val="20"/>
          <w:szCs w:val="20"/>
          <w:lang w:val="es-EC"/>
        </w:rPr>
        <w:t xml:space="preserve"> del Comprador] y físicamente ubicada en [indicar la dirección del Comprador] (en adelante denominado “el Comprador”), y</w:t>
      </w:r>
    </w:p>
    <w:p>
      <w:pPr>
        <w:numPr>
          <w:ilvl w:val="0"/>
          <w:numId w:val="182"/>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i/>
          <w:sz w:val="20"/>
          <w:szCs w:val="20"/>
          <w:lang w:val="es-EC"/>
        </w:rPr>
        <w:t>[indicar el nombre del Proveedor], una corporación incorporada bajo las leyes de [indicar: nombre del país del Proveedor] físicamente ubicada en [indicar: dirección del Proveedor] (en adelante denominada “el Proveedor”).</w:t>
      </w:r>
    </w:p>
    <w:p>
      <w:pPr>
        <w:numPr>
          <w:ilvl w:val="12"/>
          <w:numId w:val="0"/>
        </w:numPr>
        <w:suppressAutoHyphens/>
        <w:spacing w:after="18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POR CUANTO el Comprador ha llamado a licitación respecto de ciertos Bienes y Servicios Conexos, </w:t>
      </w:r>
      <w:r>
        <w:rPr>
          <w:rFonts w:asciiTheme="minorHAnsi" w:hAnsiTheme="minorHAnsi" w:cstheme="minorHAnsi"/>
          <w:i/>
          <w:sz w:val="20"/>
          <w:szCs w:val="20"/>
          <w:lang w:val="es-EC"/>
        </w:rPr>
        <w:t xml:space="preserve">[inserte una breve descripción de los bienes y servicios] </w:t>
      </w:r>
      <w:r>
        <w:rPr>
          <w:rFonts w:asciiTheme="minorHAnsi" w:hAnsiTheme="minorHAnsi" w:cstheme="minorHAnsi"/>
          <w:sz w:val="20"/>
          <w:szCs w:val="20"/>
          <w:lang w:val="es-EC"/>
        </w:rPr>
        <w:t xml:space="preserve">y ha aceptado una oferta del Proveedor para el suministro de dichos Bienes y Servicios por la suma de </w:t>
      </w:r>
      <w:r>
        <w:rPr>
          <w:rFonts w:asciiTheme="minorHAnsi" w:hAnsiTheme="minorHAnsi" w:cstheme="minorHAnsi"/>
          <w:i/>
          <w:sz w:val="20"/>
          <w:szCs w:val="20"/>
          <w:lang w:val="es-EC"/>
        </w:rPr>
        <w:t>[indicar el Precio del Contrato en palabras y cifras expresado en la(s) moneda(s) del Contrato y]</w:t>
      </w:r>
      <w:r>
        <w:rPr>
          <w:rFonts w:asciiTheme="minorHAnsi" w:hAnsiTheme="minorHAnsi" w:cstheme="minorHAnsi"/>
          <w:sz w:val="20"/>
          <w:szCs w:val="20"/>
          <w:lang w:val="es-EC"/>
        </w:rPr>
        <w:t xml:space="preserve"> (en adelante denominado “Precio del Contrato”).</w:t>
      </w:r>
    </w:p>
    <w:p>
      <w:pPr>
        <w:suppressAutoHyphens/>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ESTE CONVENIO ATESTIGUA LO SIGUIENTE:</w:t>
      </w:r>
    </w:p>
    <w:p>
      <w:pPr>
        <w:numPr>
          <w:ilvl w:val="0"/>
          <w:numId w:val="183"/>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En este Convenio las palabras y expresiones tendrán el mismo significado que se les asigne en las respectivas condiciones del Contrato a que se refieran.</w:t>
      </w:r>
    </w:p>
    <w:p>
      <w:pPr>
        <w:numPr>
          <w:ilvl w:val="0"/>
          <w:numId w:val="183"/>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Los siguientes documentos constituyen el Contrato entre el Comprador y el Proveedor, y serán leídos e interpretados como parte integral del Contrato:</w:t>
      </w:r>
    </w:p>
    <w:p>
      <w:pPr>
        <w:numPr>
          <w:ilvl w:val="0"/>
          <w:numId w:val="184"/>
        </w:numPr>
        <w:tabs>
          <w:tab w:val="left" w:pos="1170"/>
          <w:tab w:val="clear" w:pos="716"/>
        </w:tabs>
        <w:suppressAutoHyphens/>
        <w:spacing w:before="60" w:after="60" w:line="240" w:lineRule="auto"/>
        <w:ind w:left="720" w:hanging="360"/>
        <w:jc w:val="both"/>
        <w:rPr>
          <w:rFonts w:asciiTheme="minorHAnsi" w:hAnsiTheme="minorHAnsi" w:cstheme="minorHAnsi"/>
          <w:sz w:val="20"/>
          <w:szCs w:val="20"/>
          <w:lang w:val="es-EC"/>
        </w:rPr>
      </w:pPr>
      <w:r>
        <w:rPr>
          <w:rFonts w:asciiTheme="minorHAnsi" w:hAnsiTheme="minorHAnsi" w:cstheme="minorHAnsi"/>
          <w:sz w:val="20"/>
          <w:szCs w:val="20"/>
          <w:lang w:val="es-EC"/>
        </w:rPr>
        <w:t>Este Convenio de Contrato</w:t>
      </w:r>
    </w:p>
    <w:p>
      <w:pPr>
        <w:numPr>
          <w:ilvl w:val="0"/>
          <w:numId w:val="184"/>
        </w:numPr>
        <w:tabs>
          <w:tab w:val="left" w:pos="1170"/>
          <w:tab w:val="clear" w:pos="716"/>
        </w:tabs>
        <w:suppressAutoHyphens/>
        <w:spacing w:before="60" w:after="60" w:line="240" w:lineRule="auto"/>
        <w:ind w:left="720" w:hanging="360"/>
        <w:jc w:val="both"/>
        <w:rPr>
          <w:rFonts w:asciiTheme="minorHAnsi" w:hAnsiTheme="minorHAnsi" w:cstheme="minorHAnsi"/>
          <w:sz w:val="20"/>
          <w:szCs w:val="20"/>
          <w:lang w:val="es-EC"/>
        </w:rPr>
      </w:pPr>
      <w:r>
        <w:rPr>
          <w:rFonts w:asciiTheme="minorHAnsi" w:hAnsiTheme="minorHAnsi" w:cstheme="minorHAnsi"/>
          <w:sz w:val="20"/>
          <w:szCs w:val="20"/>
          <w:lang w:val="es-EC"/>
        </w:rPr>
        <w:t>Las Condiciones Especiales del Contrato</w:t>
      </w:r>
    </w:p>
    <w:p>
      <w:pPr>
        <w:numPr>
          <w:ilvl w:val="0"/>
          <w:numId w:val="184"/>
        </w:numPr>
        <w:tabs>
          <w:tab w:val="left" w:pos="1170"/>
          <w:tab w:val="clear" w:pos="716"/>
        </w:tabs>
        <w:suppressAutoHyphens/>
        <w:spacing w:before="60" w:after="60" w:line="240" w:lineRule="auto"/>
        <w:ind w:left="720" w:hanging="36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Las Condiciones Generales del Contrato; </w:t>
      </w:r>
    </w:p>
    <w:p>
      <w:pPr>
        <w:numPr>
          <w:ilvl w:val="0"/>
          <w:numId w:val="184"/>
        </w:numPr>
        <w:tabs>
          <w:tab w:val="left" w:pos="1170"/>
          <w:tab w:val="clear" w:pos="716"/>
        </w:tabs>
        <w:suppressAutoHyphens/>
        <w:spacing w:before="60" w:after="60" w:line="240" w:lineRule="auto"/>
        <w:ind w:left="720" w:hanging="360"/>
        <w:jc w:val="both"/>
        <w:rPr>
          <w:rFonts w:asciiTheme="minorHAnsi" w:hAnsiTheme="minorHAnsi" w:cstheme="minorHAnsi"/>
          <w:sz w:val="20"/>
          <w:szCs w:val="20"/>
          <w:lang w:val="es-EC"/>
        </w:rPr>
      </w:pPr>
      <w:r>
        <w:rPr>
          <w:rFonts w:asciiTheme="minorHAnsi" w:hAnsiTheme="minorHAnsi" w:cstheme="minorHAnsi"/>
          <w:sz w:val="20"/>
          <w:szCs w:val="20"/>
          <w:lang w:val="es-EC"/>
        </w:rPr>
        <w:t>Los Requerimientos Técnicos (incluyendo la Lista de Requisitos y las Especificaciones Técnicas);</w:t>
      </w:r>
    </w:p>
    <w:p>
      <w:pPr>
        <w:numPr>
          <w:ilvl w:val="0"/>
          <w:numId w:val="184"/>
        </w:numPr>
        <w:tabs>
          <w:tab w:val="left" w:pos="1170"/>
          <w:tab w:val="clear" w:pos="716"/>
        </w:tabs>
        <w:suppressAutoHyphens/>
        <w:spacing w:before="60" w:after="60" w:line="240" w:lineRule="auto"/>
        <w:ind w:left="720" w:hanging="36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La oferta del Proveedor y las Listas de Precios originales; </w:t>
      </w:r>
    </w:p>
    <w:p>
      <w:pPr>
        <w:numPr>
          <w:ilvl w:val="0"/>
          <w:numId w:val="184"/>
        </w:numPr>
        <w:tabs>
          <w:tab w:val="left" w:pos="1170"/>
          <w:tab w:val="clear" w:pos="716"/>
        </w:tabs>
        <w:suppressAutoHyphens/>
        <w:spacing w:before="60" w:after="60" w:line="240" w:lineRule="auto"/>
        <w:ind w:left="720" w:hanging="360"/>
        <w:jc w:val="both"/>
        <w:rPr>
          <w:rFonts w:asciiTheme="minorHAnsi" w:hAnsiTheme="minorHAnsi" w:cstheme="minorHAnsi"/>
          <w:sz w:val="20"/>
          <w:szCs w:val="20"/>
          <w:lang w:val="es-EC"/>
        </w:rPr>
      </w:pPr>
      <w:r>
        <w:rPr>
          <w:rFonts w:asciiTheme="minorHAnsi" w:hAnsiTheme="minorHAnsi" w:cstheme="minorHAnsi"/>
          <w:sz w:val="20"/>
          <w:szCs w:val="20"/>
          <w:lang w:val="es-EC"/>
        </w:rPr>
        <w:t>La notificación de Adjudicación del  Contrato emitida por el Comprador.</w:t>
      </w:r>
    </w:p>
    <w:p>
      <w:pPr>
        <w:pStyle w:val="64"/>
        <w:numPr>
          <w:ilvl w:val="0"/>
          <w:numId w:val="184"/>
        </w:numPr>
        <w:rPr>
          <w:rFonts w:asciiTheme="minorHAnsi" w:hAnsiTheme="minorHAnsi" w:cstheme="minorHAnsi"/>
          <w:i/>
          <w:sz w:val="20"/>
          <w:szCs w:val="20"/>
          <w:lang w:val="es-EC"/>
        </w:rPr>
      </w:pPr>
      <w:r>
        <w:rPr>
          <w:rFonts w:asciiTheme="minorHAnsi" w:hAnsiTheme="minorHAnsi" w:cstheme="minorHAnsi"/>
          <w:i/>
          <w:sz w:val="20"/>
          <w:szCs w:val="20"/>
          <w:lang w:val="es-EC"/>
        </w:rPr>
        <w:t>La Certificación de Disponibilidad Presupuestaria Nº xxxxx</w:t>
      </w:r>
    </w:p>
    <w:p>
      <w:pPr>
        <w:pStyle w:val="64"/>
        <w:numPr>
          <w:ilvl w:val="0"/>
          <w:numId w:val="184"/>
        </w:numPr>
        <w:rPr>
          <w:rFonts w:asciiTheme="minorHAnsi" w:hAnsiTheme="minorHAnsi" w:cstheme="minorHAnsi"/>
          <w:i/>
          <w:sz w:val="20"/>
          <w:szCs w:val="20"/>
          <w:lang w:val="es-EC"/>
        </w:rPr>
      </w:pPr>
      <w:r>
        <w:rPr>
          <w:rFonts w:asciiTheme="minorHAnsi" w:hAnsiTheme="minorHAnsi" w:cstheme="minorHAnsi"/>
          <w:i/>
          <w:sz w:val="20"/>
          <w:szCs w:val="20"/>
          <w:lang w:val="es-EC"/>
        </w:rPr>
        <w:t xml:space="preserve">Garantía de buen uso del anticipo. </w:t>
      </w:r>
    </w:p>
    <w:p>
      <w:pPr>
        <w:pStyle w:val="64"/>
        <w:numPr>
          <w:ilvl w:val="0"/>
          <w:numId w:val="184"/>
        </w:numPr>
        <w:rPr>
          <w:rFonts w:asciiTheme="minorHAnsi" w:hAnsiTheme="minorHAnsi" w:cstheme="minorHAnsi"/>
          <w:i/>
          <w:sz w:val="20"/>
          <w:szCs w:val="20"/>
          <w:lang w:val="es-EC"/>
        </w:rPr>
      </w:pPr>
      <w:r>
        <w:rPr>
          <w:rFonts w:asciiTheme="minorHAnsi" w:hAnsiTheme="minorHAnsi" w:cstheme="minorHAnsi"/>
          <w:i/>
          <w:sz w:val="20"/>
          <w:szCs w:val="20"/>
          <w:lang w:val="es-EC"/>
        </w:rPr>
        <w:t xml:space="preserve">Garantía de fiel cumplimiento de contrato. </w:t>
      </w:r>
    </w:p>
    <w:p>
      <w:pPr>
        <w:pStyle w:val="64"/>
        <w:numPr>
          <w:ilvl w:val="0"/>
          <w:numId w:val="184"/>
        </w:numPr>
        <w:rPr>
          <w:rFonts w:asciiTheme="minorHAnsi" w:hAnsiTheme="minorHAnsi" w:cstheme="minorHAnsi"/>
          <w:i/>
          <w:sz w:val="20"/>
          <w:szCs w:val="20"/>
          <w:lang w:val="es-EC"/>
        </w:rPr>
      </w:pPr>
      <w:r>
        <w:rPr>
          <w:rFonts w:asciiTheme="minorHAnsi" w:hAnsiTheme="minorHAnsi" w:cstheme="minorHAnsi"/>
          <w:i/>
          <w:sz w:val="20"/>
          <w:szCs w:val="20"/>
          <w:lang w:val="es-EC"/>
        </w:rPr>
        <w:t xml:space="preserve">Certificación Bancaria la cual servirá de registro a la cuenta donde se transferirán o realizaran los pagos.  </w:t>
      </w:r>
    </w:p>
    <w:p>
      <w:pPr>
        <w:numPr>
          <w:ilvl w:val="0"/>
          <w:numId w:val="183"/>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iCs/>
          <w:sz w:val="20"/>
          <w:szCs w:val="20"/>
          <w:lang w:val="es-EC"/>
        </w:rPr>
        <w:t>Este Contrato prevalecerá sobre todos los otros documentos contractuales. En caso de alguna discrepancia o inconsistencia entre los documentos del Contrato, los documentos prevalecerán en el orden enunciado anteriormente.</w:t>
      </w:r>
    </w:p>
    <w:p>
      <w:pPr>
        <w:numPr>
          <w:ilvl w:val="0"/>
          <w:numId w:val="183"/>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p>
    <w:p>
      <w:pPr>
        <w:numPr>
          <w:ilvl w:val="0"/>
          <w:numId w:val="183"/>
        </w:numPr>
        <w:spacing w:before="60" w:after="60" w:line="240" w:lineRule="auto"/>
        <w:ind w:left="360"/>
        <w:jc w:val="both"/>
        <w:rPr>
          <w:rFonts w:asciiTheme="minorHAnsi" w:hAnsiTheme="minorHAnsi" w:cstheme="minorHAnsi"/>
          <w:sz w:val="20"/>
          <w:szCs w:val="20"/>
          <w:lang w:val="es-EC"/>
        </w:rPr>
      </w:pPr>
      <w:r>
        <w:rPr>
          <w:rFonts w:asciiTheme="minorHAnsi" w:hAnsiTheme="minorHAnsi" w:cstheme="minorHAnsi"/>
          <w:sz w:val="20"/>
          <w:szCs w:val="20"/>
          <w:lang w:val="es-EC"/>
        </w:rPr>
        <w:t>El Comprador se compromete a pagar al Proveedor como contrapartida del suministro de los bienes y servicios y la subsanación de sus defectos, el Precio del Contrato o las sumas que resulten pagaderas de conformidad con lo dispuesto en el Contrato en el plazo y en la forma prescritos en éste</w:t>
      </w:r>
    </w:p>
    <w:p>
      <w:pPr>
        <w:spacing w:before="60" w:after="60" w:line="240" w:lineRule="auto"/>
        <w:jc w:val="both"/>
        <w:rPr>
          <w:rFonts w:asciiTheme="minorHAnsi" w:hAnsiTheme="minorHAnsi" w:cstheme="minorHAnsi"/>
          <w:sz w:val="20"/>
          <w:szCs w:val="20"/>
          <w:lang w:val="es-EC"/>
        </w:rPr>
      </w:pPr>
    </w:p>
    <w:p>
      <w:pPr>
        <w:spacing w:before="60" w:after="60"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EN TESTIMONIO de lo cual las partes han ejecutado el presente Convenio de conformidad con las leyes de </w:t>
      </w:r>
      <w:r>
        <w:rPr>
          <w:rFonts w:asciiTheme="minorHAnsi" w:hAnsiTheme="minorHAnsi" w:cstheme="minorHAnsi"/>
          <w:i/>
          <w:sz w:val="20"/>
          <w:szCs w:val="20"/>
          <w:lang w:val="es-EC"/>
        </w:rPr>
        <w:t xml:space="preserve">[indicar el nombre de la ley del país que gobierna el Contrato] </w:t>
      </w:r>
      <w:r>
        <w:rPr>
          <w:rFonts w:asciiTheme="minorHAnsi" w:hAnsiTheme="minorHAnsi" w:cstheme="minorHAnsi"/>
          <w:sz w:val="20"/>
          <w:szCs w:val="20"/>
          <w:lang w:val="es-EC"/>
        </w:rPr>
        <w:t>en el día, mes y año antes indicados</w:t>
      </w:r>
    </w:p>
    <w:p>
      <w:pPr>
        <w:spacing w:before="60" w:after="60" w:line="240" w:lineRule="auto"/>
        <w:jc w:val="both"/>
        <w:rPr>
          <w:rFonts w:asciiTheme="minorHAnsi" w:hAnsiTheme="minorHAnsi" w:cstheme="minorHAnsi"/>
          <w:sz w:val="20"/>
          <w:szCs w:val="20"/>
          <w:lang w:val="es-EC"/>
        </w:rPr>
      </w:pP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Por y en nombre del Comprador</w:t>
      </w:r>
    </w:p>
    <w:p>
      <w:pPr>
        <w:spacing w:before="60" w:after="60" w:line="240" w:lineRule="auto"/>
        <w:rPr>
          <w:rFonts w:asciiTheme="minorHAnsi" w:hAnsiTheme="minorHAnsi" w:cstheme="minorHAnsi"/>
          <w:sz w:val="20"/>
          <w:szCs w:val="20"/>
          <w:lang w:val="es-EC"/>
        </w:rPr>
      </w:pP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Firmado: </w:t>
      </w:r>
      <w:r>
        <w:rPr>
          <w:rFonts w:asciiTheme="minorHAnsi" w:hAnsiTheme="minorHAnsi" w:cstheme="minorHAnsi"/>
          <w:i/>
          <w:sz w:val="20"/>
          <w:szCs w:val="20"/>
          <w:lang w:val="es-EC"/>
        </w:rPr>
        <w:t>[indicar firma]</w:t>
      </w:r>
    </w:p>
    <w:p>
      <w:pPr>
        <w:spacing w:before="60" w:after="60" w:line="240" w:lineRule="auto"/>
        <w:rPr>
          <w:rFonts w:asciiTheme="minorHAnsi" w:hAnsiTheme="minorHAnsi" w:cstheme="minorHAnsi"/>
          <w:i/>
          <w:sz w:val="20"/>
          <w:szCs w:val="20"/>
          <w:lang w:val="es-EC"/>
        </w:rPr>
      </w:pPr>
      <w:r>
        <w:rPr>
          <w:rFonts w:asciiTheme="minorHAnsi" w:hAnsiTheme="minorHAnsi" w:cstheme="minorHAnsi"/>
          <w:sz w:val="20"/>
          <w:szCs w:val="20"/>
          <w:lang w:val="es-EC"/>
        </w:rPr>
        <w:t xml:space="preserve">en capacidad de </w:t>
      </w:r>
      <w:r>
        <w:rPr>
          <w:rFonts w:asciiTheme="minorHAnsi" w:hAnsiTheme="minorHAnsi" w:cstheme="minorHAnsi"/>
          <w:i/>
          <w:sz w:val="20"/>
          <w:szCs w:val="20"/>
          <w:lang w:val="es-EC"/>
        </w:rPr>
        <w:t xml:space="preserve">[indicar el título u otra designación apropiada] </w:t>
      </w: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en la presencia de </w:t>
      </w:r>
      <w:r>
        <w:rPr>
          <w:rFonts w:asciiTheme="minorHAnsi" w:hAnsiTheme="minorHAnsi" w:cstheme="minorHAnsi"/>
          <w:i/>
          <w:sz w:val="20"/>
          <w:szCs w:val="20"/>
          <w:lang w:val="es-EC"/>
        </w:rPr>
        <w:t>[indicar la identificación del testigo]</w:t>
      </w:r>
    </w:p>
    <w:p>
      <w:pPr>
        <w:spacing w:before="60" w:after="60" w:line="240" w:lineRule="auto"/>
        <w:rPr>
          <w:rFonts w:asciiTheme="minorHAnsi" w:hAnsiTheme="minorHAnsi" w:cstheme="minorHAnsi"/>
          <w:sz w:val="20"/>
          <w:szCs w:val="20"/>
          <w:lang w:val="es-EC"/>
        </w:rPr>
      </w:pP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Por y en nombre del Proveedor</w:t>
      </w:r>
    </w:p>
    <w:p>
      <w:pPr>
        <w:tabs>
          <w:tab w:val="left" w:pos="900"/>
          <w:tab w:val="left" w:pos="7200"/>
        </w:tabs>
        <w:spacing w:before="60" w:after="60" w:line="240" w:lineRule="auto"/>
        <w:rPr>
          <w:rFonts w:asciiTheme="minorHAnsi" w:hAnsiTheme="minorHAnsi" w:cstheme="minorHAnsi"/>
          <w:sz w:val="20"/>
          <w:szCs w:val="20"/>
          <w:lang w:val="es-EC"/>
        </w:rPr>
      </w:pPr>
    </w:p>
    <w:p>
      <w:pPr>
        <w:tabs>
          <w:tab w:val="left" w:pos="900"/>
        </w:tabs>
        <w:spacing w:before="60" w:after="60" w:line="240" w:lineRule="auto"/>
        <w:rPr>
          <w:rFonts w:asciiTheme="minorHAnsi" w:hAnsiTheme="minorHAnsi" w:cstheme="minorHAnsi"/>
          <w:i/>
          <w:sz w:val="20"/>
          <w:szCs w:val="20"/>
          <w:lang w:val="es-EC"/>
        </w:rPr>
      </w:pPr>
      <w:r>
        <w:rPr>
          <w:rFonts w:asciiTheme="minorHAnsi" w:hAnsiTheme="minorHAnsi" w:cstheme="minorHAnsi"/>
          <w:sz w:val="20"/>
          <w:szCs w:val="20"/>
          <w:lang w:val="es-EC"/>
        </w:rPr>
        <w:t xml:space="preserve">Firmado: </w:t>
      </w:r>
      <w:r>
        <w:rPr>
          <w:rFonts w:asciiTheme="minorHAnsi" w:hAnsiTheme="minorHAnsi" w:cstheme="minorHAnsi"/>
          <w:i/>
          <w:sz w:val="20"/>
          <w:szCs w:val="20"/>
          <w:lang w:val="es-EC"/>
        </w:rPr>
        <w:t xml:space="preserve">[indicar la(s) firma(s) del (los) representante(s) autorizado(s) del Proveedor] </w:t>
      </w:r>
    </w:p>
    <w:p>
      <w:pPr>
        <w:tabs>
          <w:tab w:val="left" w:pos="900"/>
        </w:tabs>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en capacidad de </w:t>
      </w:r>
      <w:r>
        <w:rPr>
          <w:rFonts w:asciiTheme="minorHAnsi" w:hAnsiTheme="minorHAnsi" w:cstheme="minorHAnsi"/>
          <w:i/>
          <w:sz w:val="20"/>
          <w:szCs w:val="20"/>
          <w:lang w:val="es-EC"/>
        </w:rPr>
        <w:t xml:space="preserve">[indicar el título u otra designación apropiada] </w:t>
      </w:r>
    </w:p>
    <w:p>
      <w:pPr>
        <w:tabs>
          <w:tab w:val="left" w:pos="900"/>
        </w:tabs>
        <w:spacing w:before="60" w:after="60" w:line="240" w:lineRule="auto"/>
        <w:rPr>
          <w:rFonts w:asciiTheme="minorHAnsi" w:hAnsiTheme="minorHAnsi" w:cstheme="minorHAnsi"/>
          <w:i/>
          <w:sz w:val="20"/>
          <w:szCs w:val="20"/>
          <w:lang w:val="es-EC"/>
        </w:rPr>
      </w:pPr>
      <w:r>
        <w:rPr>
          <w:rFonts w:asciiTheme="minorHAnsi" w:hAnsiTheme="minorHAnsi" w:cstheme="minorHAnsi"/>
          <w:sz w:val="20"/>
          <w:szCs w:val="20"/>
          <w:lang w:val="es-EC"/>
        </w:rPr>
        <w:t xml:space="preserve">en la presencia de </w:t>
      </w:r>
      <w:r>
        <w:rPr>
          <w:rFonts w:asciiTheme="minorHAnsi" w:hAnsiTheme="minorHAnsi" w:cstheme="minorHAnsi"/>
          <w:i/>
          <w:sz w:val="20"/>
          <w:szCs w:val="20"/>
          <w:lang w:val="es-EC"/>
        </w:rPr>
        <w:t xml:space="preserve">[indicar la identificación del testigo] </w:t>
      </w:r>
    </w:p>
    <w:p>
      <w:pPr>
        <w:tabs>
          <w:tab w:val="left" w:pos="900"/>
        </w:tabs>
        <w:spacing w:before="60" w:after="60" w:line="240" w:lineRule="auto"/>
        <w:rPr>
          <w:rFonts w:asciiTheme="minorHAnsi" w:hAnsiTheme="minorHAnsi" w:cstheme="minorHAnsi"/>
          <w:sz w:val="20"/>
          <w:szCs w:val="20"/>
          <w:u w:val="single"/>
          <w:lang w:val="es-EC"/>
        </w:rPr>
      </w:pPr>
    </w:p>
    <w:p>
      <w:pPr>
        <w:jc w:val="center"/>
        <w:rPr>
          <w:rFonts w:asciiTheme="minorHAnsi" w:hAnsiTheme="minorHAnsi" w:cstheme="minorHAnsi"/>
          <w:b/>
          <w:sz w:val="20"/>
          <w:szCs w:val="20"/>
          <w:lang w:val="es-EC"/>
        </w:rPr>
      </w:pPr>
      <w:r>
        <w:rPr>
          <w:rFonts w:asciiTheme="minorHAnsi" w:hAnsiTheme="minorHAnsi" w:cstheme="minorHAnsi"/>
          <w:b/>
          <w:sz w:val="20"/>
          <w:szCs w:val="20"/>
          <w:lang w:val="es-EC"/>
        </w:rPr>
        <w:br w:type="page"/>
      </w:r>
      <w:bookmarkStart w:id="416" w:name="_Toc478103534"/>
      <w:r>
        <w:rPr>
          <w:rFonts w:asciiTheme="minorHAnsi" w:hAnsiTheme="minorHAnsi" w:cstheme="minorHAnsi"/>
          <w:b/>
          <w:sz w:val="20"/>
          <w:szCs w:val="20"/>
          <w:lang w:val="es-EC"/>
        </w:rPr>
        <w:t>Garantía de Cumplimiento</w:t>
      </w:r>
      <w:bookmarkEnd w:id="416"/>
    </w:p>
    <w:p>
      <w:pPr>
        <w:pStyle w:val="32"/>
        <w:jc w:val="center"/>
        <w:rPr>
          <w:rFonts w:asciiTheme="minorHAnsi" w:hAnsiTheme="minorHAnsi" w:cstheme="minorHAnsi"/>
          <w:i/>
          <w:iCs/>
          <w:sz w:val="20"/>
          <w:szCs w:val="20"/>
          <w:lang w:val="es-EC"/>
        </w:rPr>
      </w:pPr>
      <w:r>
        <w:rPr>
          <w:rFonts w:asciiTheme="minorHAnsi" w:hAnsiTheme="minorHAnsi" w:cstheme="minorHAnsi"/>
          <w:i/>
          <w:iCs/>
          <w:sz w:val="20"/>
          <w:szCs w:val="20"/>
          <w:lang w:val="es-EC"/>
        </w:rPr>
        <w:t>(Garantía Bancaria)</w:t>
      </w:r>
    </w:p>
    <w:p>
      <w:pPr>
        <w:pStyle w:val="32"/>
        <w:jc w:val="center"/>
        <w:rPr>
          <w:rFonts w:asciiTheme="minorHAnsi" w:hAnsiTheme="minorHAnsi" w:cstheme="minorHAnsi"/>
          <w:i/>
          <w:iCs/>
          <w:sz w:val="20"/>
          <w:szCs w:val="20"/>
          <w:lang w:val="es-EC"/>
        </w:rPr>
      </w:pPr>
    </w:p>
    <w:p>
      <w:pPr>
        <w:pStyle w:val="32"/>
        <w:spacing w:before="60" w:after="60"/>
        <w:jc w:val="both"/>
        <w:rPr>
          <w:rFonts w:asciiTheme="minorHAnsi" w:hAnsiTheme="minorHAnsi" w:cstheme="minorHAnsi"/>
          <w:i/>
          <w:iCs/>
          <w:sz w:val="20"/>
          <w:szCs w:val="20"/>
          <w:lang w:val="es-EC"/>
        </w:rPr>
      </w:pPr>
      <w:r>
        <w:rPr>
          <w:rFonts w:asciiTheme="minorHAnsi" w:hAnsiTheme="minorHAnsi" w:cstheme="minorHAnsi"/>
          <w:i/>
          <w:iCs/>
          <w:sz w:val="20"/>
          <w:szCs w:val="20"/>
          <w:lang w:val="es-EC"/>
        </w:rPr>
        <w:t>[El banco, a solicitud del Oferente seleccionado, completará este formulario de acuerdo con las instrucciones indicadas]</w:t>
      </w:r>
    </w:p>
    <w:p>
      <w:pPr>
        <w:pStyle w:val="32"/>
        <w:spacing w:before="60" w:after="60"/>
        <w:rPr>
          <w:rFonts w:asciiTheme="minorHAnsi" w:hAnsiTheme="minorHAnsi" w:cstheme="minorHAnsi"/>
          <w:i/>
          <w:iCs/>
          <w:sz w:val="20"/>
          <w:szCs w:val="20"/>
          <w:lang w:val="es-EC"/>
        </w:rPr>
      </w:pPr>
    </w:p>
    <w:p>
      <w:pPr>
        <w:spacing w:before="60" w:after="60" w:line="240" w:lineRule="auto"/>
        <w:rPr>
          <w:rFonts w:asciiTheme="minorHAnsi" w:hAnsiTheme="minorHAnsi" w:cstheme="minorHAnsi"/>
          <w:i/>
          <w:sz w:val="20"/>
          <w:szCs w:val="20"/>
          <w:lang w:val="es-EC"/>
        </w:rPr>
      </w:pPr>
      <w:r>
        <w:rPr>
          <w:rFonts w:asciiTheme="minorHAnsi" w:hAnsiTheme="minorHAnsi" w:cstheme="minorHAnsi"/>
          <w:i/>
          <w:sz w:val="20"/>
          <w:szCs w:val="20"/>
          <w:lang w:val="es-EC"/>
        </w:rPr>
        <w:t>[Papel con membrete del Garante o Código de identificación SWIFT]</w:t>
      </w:r>
    </w:p>
    <w:p>
      <w:pPr>
        <w:pStyle w:val="32"/>
        <w:spacing w:before="60" w:after="60"/>
        <w:rPr>
          <w:rFonts w:asciiTheme="minorHAnsi" w:hAnsiTheme="minorHAnsi" w:cstheme="minorHAnsi"/>
          <w:i/>
          <w:sz w:val="20"/>
          <w:szCs w:val="20"/>
          <w:lang w:val="es-EC"/>
        </w:rPr>
      </w:pPr>
    </w:p>
    <w:p>
      <w:pPr>
        <w:pStyle w:val="31"/>
        <w:spacing w:before="60" w:beforeAutospacing="0" w:after="60" w:afterAutospacing="0"/>
        <w:rPr>
          <w:rFonts w:asciiTheme="minorHAnsi" w:hAnsiTheme="minorHAnsi" w:cstheme="minorHAnsi"/>
          <w:i/>
          <w:sz w:val="20"/>
          <w:szCs w:val="20"/>
          <w:lang w:val="es-EC"/>
        </w:rPr>
      </w:pPr>
      <w:r>
        <w:rPr>
          <w:rFonts w:asciiTheme="minorHAnsi" w:hAnsiTheme="minorHAnsi" w:cstheme="minorHAnsi"/>
          <w:b/>
          <w:sz w:val="20"/>
          <w:szCs w:val="20"/>
          <w:lang w:val="es-EC"/>
        </w:rPr>
        <w:t xml:space="preserve">Beneficiario: </w:t>
      </w:r>
      <w:r>
        <w:rPr>
          <w:rFonts w:asciiTheme="minorHAnsi" w:hAnsiTheme="minorHAnsi" w:cstheme="minorHAnsi"/>
          <w:i/>
          <w:sz w:val="20"/>
          <w:szCs w:val="20"/>
          <w:lang w:val="es-EC"/>
        </w:rPr>
        <w:t>[indicar nombre y dirección del Comprador]</w:t>
      </w:r>
      <w:r>
        <w:rPr>
          <w:rFonts w:asciiTheme="minorHAnsi" w:hAnsiTheme="minorHAnsi" w:cstheme="minorHAnsi"/>
          <w:i/>
          <w:sz w:val="20"/>
          <w:szCs w:val="20"/>
          <w:lang w:val="es-EC"/>
        </w:rPr>
        <w:tab/>
      </w:r>
      <w:r>
        <w:rPr>
          <w:rFonts w:asciiTheme="minorHAnsi" w:hAnsiTheme="minorHAnsi" w:cstheme="minorHAnsi"/>
          <w:i/>
          <w:sz w:val="20"/>
          <w:szCs w:val="20"/>
          <w:lang w:val="es-EC"/>
        </w:rPr>
        <w:tab/>
      </w:r>
    </w:p>
    <w:p>
      <w:pPr>
        <w:pStyle w:val="31"/>
        <w:spacing w:before="60" w:beforeAutospacing="0" w:after="60" w:afterAutospacing="0"/>
        <w:rPr>
          <w:rFonts w:asciiTheme="minorHAnsi" w:hAnsiTheme="minorHAnsi" w:cstheme="minorHAnsi"/>
          <w:sz w:val="20"/>
          <w:szCs w:val="20"/>
          <w:lang w:val="es-EC"/>
        </w:rPr>
      </w:pPr>
      <w:r>
        <w:rPr>
          <w:rFonts w:asciiTheme="minorHAnsi" w:hAnsiTheme="minorHAnsi" w:cstheme="minorHAnsi"/>
          <w:b/>
          <w:sz w:val="20"/>
          <w:szCs w:val="20"/>
          <w:lang w:val="es-EC"/>
        </w:rPr>
        <w:t>Fecha:</w:t>
      </w:r>
      <w:r>
        <w:rPr>
          <w:rFonts w:asciiTheme="minorHAnsi" w:hAnsiTheme="minorHAnsi" w:cstheme="minorHAnsi"/>
          <w:i/>
          <w:sz w:val="20"/>
          <w:szCs w:val="20"/>
          <w:lang w:val="es-EC"/>
        </w:rPr>
        <w:t xml:space="preserve"> [indicar la fecha de expedición]</w:t>
      </w:r>
    </w:p>
    <w:p>
      <w:pPr>
        <w:pStyle w:val="31"/>
        <w:spacing w:before="60" w:beforeAutospacing="0" w:after="60" w:afterAutospacing="0"/>
        <w:rPr>
          <w:rFonts w:asciiTheme="minorHAnsi" w:hAnsiTheme="minorHAnsi" w:cstheme="minorHAnsi"/>
          <w:sz w:val="20"/>
          <w:szCs w:val="20"/>
          <w:lang w:val="es-EC"/>
        </w:rPr>
      </w:pPr>
      <w:r>
        <w:rPr>
          <w:rFonts w:asciiTheme="minorHAnsi" w:hAnsiTheme="minorHAnsi" w:cstheme="minorHAnsi"/>
          <w:b/>
          <w:sz w:val="20"/>
          <w:szCs w:val="20"/>
          <w:lang w:val="es-EC"/>
        </w:rPr>
        <w:t xml:space="preserve">GARANTÍA DE CUMPLIMIENTO No.: </w:t>
      </w:r>
      <w:r>
        <w:rPr>
          <w:rFonts w:asciiTheme="minorHAnsi" w:hAnsiTheme="minorHAnsi" w:cstheme="minorHAnsi"/>
          <w:i/>
          <w:sz w:val="20"/>
          <w:szCs w:val="20"/>
          <w:lang w:val="es-EC"/>
        </w:rPr>
        <w:t>[indicar el número de la Garantía]</w:t>
      </w:r>
    </w:p>
    <w:p>
      <w:pPr>
        <w:pStyle w:val="31"/>
        <w:spacing w:before="60" w:beforeAutospacing="0" w:after="60" w:afterAutospacing="0"/>
        <w:rPr>
          <w:rFonts w:asciiTheme="minorHAnsi" w:hAnsiTheme="minorHAnsi" w:cstheme="minorHAnsi"/>
          <w:sz w:val="20"/>
          <w:szCs w:val="20"/>
          <w:lang w:val="es-EC"/>
        </w:rPr>
      </w:pPr>
      <w:r>
        <w:rPr>
          <w:rFonts w:asciiTheme="minorHAnsi" w:hAnsiTheme="minorHAnsi" w:cstheme="minorHAnsi"/>
          <w:b/>
          <w:sz w:val="20"/>
          <w:szCs w:val="20"/>
          <w:lang w:val="es-EC"/>
        </w:rPr>
        <w:t>Garante:</w:t>
      </w:r>
      <w:r>
        <w:rPr>
          <w:rFonts w:asciiTheme="minorHAnsi" w:hAnsiTheme="minorHAnsi" w:cstheme="minorHAnsi"/>
          <w:i/>
          <w:sz w:val="20"/>
          <w:szCs w:val="20"/>
          <w:lang w:val="es-EC"/>
        </w:rPr>
        <w:t xml:space="preserve"> [indicar el nombre y dirección del lugar de expedición, a menos que se indique en el membrete]</w:t>
      </w:r>
    </w:p>
    <w:p>
      <w:pPr>
        <w:pStyle w:val="31"/>
        <w:spacing w:before="60" w:beforeAutospacing="0" w:after="60" w:afterAutospacing="0"/>
        <w:jc w:val="both"/>
        <w:rPr>
          <w:rFonts w:asciiTheme="minorHAnsi" w:hAnsiTheme="minorHAnsi" w:cstheme="minorHAnsi"/>
          <w:sz w:val="20"/>
          <w:szCs w:val="20"/>
          <w:lang w:val="es-EC"/>
        </w:rPr>
      </w:pP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Se nos ha informado que </w:t>
      </w:r>
      <w:r>
        <w:rPr>
          <w:rFonts w:asciiTheme="minorHAnsi" w:hAnsiTheme="minorHAnsi" w:cstheme="minorHAnsi"/>
          <w:i/>
          <w:sz w:val="20"/>
          <w:szCs w:val="20"/>
          <w:lang w:val="es-EC"/>
        </w:rPr>
        <w:t xml:space="preserve">[indique el nombre completo del Proveedor; en caso que se trate de una Asociación en Participación o Consorcio, se debe incluir el nombre de dicha Asociación en Participación o Consorcio] </w:t>
      </w:r>
      <w:r>
        <w:rPr>
          <w:rFonts w:asciiTheme="minorHAnsi" w:hAnsiTheme="minorHAnsi" w:cstheme="minorHAnsi"/>
          <w:sz w:val="20"/>
          <w:szCs w:val="20"/>
          <w:lang w:val="es-EC"/>
        </w:rPr>
        <w:t xml:space="preserve">(en adelante "el Ordenante") ha celebrado el Contrato No. </w:t>
      </w:r>
      <w:r>
        <w:rPr>
          <w:rFonts w:asciiTheme="minorHAnsi" w:hAnsiTheme="minorHAnsi" w:cstheme="minorHAnsi"/>
          <w:i/>
          <w:sz w:val="20"/>
          <w:szCs w:val="20"/>
          <w:lang w:val="es-EC"/>
        </w:rPr>
        <w:t xml:space="preserve">[Indicar el número de referencia del contrato] </w:t>
      </w:r>
      <w:r>
        <w:rPr>
          <w:rFonts w:asciiTheme="minorHAnsi" w:hAnsiTheme="minorHAnsi" w:cstheme="minorHAnsi"/>
          <w:sz w:val="20"/>
          <w:szCs w:val="20"/>
          <w:lang w:val="es-EC"/>
        </w:rPr>
        <w:t xml:space="preserve">de fecha </w:t>
      </w:r>
      <w:r>
        <w:rPr>
          <w:rFonts w:asciiTheme="minorHAnsi" w:hAnsiTheme="minorHAnsi" w:cstheme="minorHAnsi"/>
          <w:i/>
          <w:sz w:val="20"/>
          <w:szCs w:val="20"/>
          <w:lang w:val="es-EC"/>
        </w:rPr>
        <w:t xml:space="preserve">[indicar fecha] </w:t>
      </w:r>
      <w:r>
        <w:rPr>
          <w:rFonts w:asciiTheme="minorHAnsi" w:hAnsiTheme="minorHAnsi" w:cstheme="minorHAnsi"/>
          <w:sz w:val="20"/>
          <w:szCs w:val="20"/>
          <w:lang w:val="es-EC"/>
        </w:rPr>
        <w:t xml:space="preserve">con el Beneficiario, para el suministro de </w:t>
      </w:r>
      <w:r>
        <w:rPr>
          <w:rFonts w:asciiTheme="minorHAnsi" w:hAnsiTheme="minorHAnsi" w:cstheme="minorHAnsi"/>
          <w:i/>
          <w:sz w:val="20"/>
          <w:szCs w:val="20"/>
          <w:lang w:val="es-EC"/>
        </w:rPr>
        <w:t xml:space="preserve">[indicar el nombre del contrato y una breve descripción de los Bienes y Servicios Conexos] </w:t>
      </w:r>
      <w:r>
        <w:rPr>
          <w:rFonts w:asciiTheme="minorHAnsi" w:hAnsiTheme="minorHAnsi" w:cstheme="minorHAnsi"/>
          <w:sz w:val="20"/>
          <w:szCs w:val="20"/>
          <w:lang w:val="es-EC"/>
        </w:rPr>
        <w:t xml:space="preserve">(en adelante "el Contrato"). </w:t>
      </w: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Además, entendemos que, de acuerdo con las condiciones del Contrato, se requiere una Garantía de Cumplimiento.</w:t>
      </w: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A solicitud del Ordenante, nosotros, el Garante, por medio del presente documento nos obligamos irrevocablemente a pagarle al Beneficiario cualquier suma o sumas que en total no excedan el monto de </w:t>
      </w:r>
      <w:r>
        <w:rPr>
          <w:rFonts w:asciiTheme="minorHAnsi" w:hAnsiTheme="minorHAnsi" w:cstheme="minorHAnsi"/>
          <w:i/>
          <w:sz w:val="20"/>
          <w:szCs w:val="20"/>
          <w:lang w:val="es-EC"/>
        </w:rPr>
        <w:t>[indicar el monto en palabras]</w:t>
      </w:r>
      <w:r>
        <w:rPr>
          <w:rFonts w:asciiTheme="minorHAnsi" w:hAnsiTheme="minorHAnsi" w:cstheme="minorHAnsi"/>
          <w:sz w:val="20"/>
          <w:szCs w:val="20"/>
          <w:lang w:val="es-EC"/>
        </w:rPr>
        <w:t>(</w:t>
      </w:r>
      <w:r>
        <w:rPr>
          <w:rFonts w:asciiTheme="minorHAnsi" w:hAnsiTheme="minorHAnsi" w:cstheme="minorHAnsi"/>
          <w:i/>
          <w:sz w:val="20"/>
          <w:szCs w:val="20"/>
          <w:lang w:val="es-EC"/>
        </w:rPr>
        <w:t>[indicar el monto en números]</w:t>
      </w:r>
      <w:r>
        <w:rPr>
          <w:rFonts w:asciiTheme="minorHAnsi" w:hAnsiTheme="minorHAnsi" w:cstheme="minorHAnsi"/>
          <w:sz w:val="20"/>
          <w:szCs w:val="20"/>
          <w:lang w:val="es-EC"/>
        </w:rPr>
        <w:t>)</w:t>
      </w:r>
      <w:r>
        <w:rPr>
          <w:rStyle w:val="43"/>
          <w:rFonts w:asciiTheme="minorHAnsi" w:hAnsiTheme="minorHAnsi" w:cstheme="minorHAnsi"/>
          <w:sz w:val="20"/>
          <w:szCs w:val="20"/>
          <w:lang w:val="es-EC"/>
        </w:rPr>
        <w:footnoteReference w:id="8" w:customMarkFollows="1"/>
        <w:t>1</w:t>
      </w:r>
      <w:r>
        <w:rPr>
          <w:rFonts w:asciiTheme="minorHAnsi" w:hAnsiTheme="minorHAnsi" w:cstheme="minorHAnsi"/>
          <w:sz w:val="20"/>
          <w:szCs w:val="20"/>
          <w:lang w:val="es-EC"/>
        </w:rPr>
        <w:t xml:space="preserve">dicha suma será pagadera en los tipos y proporciones de monedas en que sea pagadero el Precio del Contrato, al momento en que recibamos un requerimiento del Beneficiario acompañado de una declaración del Beneficiario en el requerimiento o en un documento independiente firmado que acompañe el requerimiento, declarando que el Ordenante ha incumplido sus obligaciones bajo el Contrato, sin necesidad de que el Beneficiario pruebe o muestre elementos para su requerimiento o de la suma especificada. </w:t>
      </w: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Esta garantía vencerá, a más tardar el </w:t>
      </w:r>
      <w:r>
        <w:rPr>
          <w:rFonts w:asciiTheme="minorHAnsi" w:hAnsiTheme="minorHAnsi" w:cstheme="minorHAnsi"/>
          <w:i/>
          <w:sz w:val="20"/>
          <w:szCs w:val="20"/>
          <w:lang w:val="es-EC"/>
        </w:rPr>
        <w:t>[indicar fecha]</w:t>
      </w:r>
      <w:r>
        <w:rPr>
          <w:rStyle w:val="43"/>
          <w:rFonts w:asciiTheme="minorHAnsi" w:hAnsiTheme="minorHAnsi" w:cstheme="minorHAnsi"/>
          <w:sz w:val="20"/>
          <w:szCs w:val="20"/>
          <w:lang w:val="es-EC"/>
        </w:rPr>
        <w:footnoteReference w:id="9" w:customMarkFollows="1"/>
        <w:t>2</w:t>
      </w:r>
      <w:r>
        <w:rPr>
          <w:rFonts w:asciiTheme="minorHAnsi" w:hAnsiTheme="minorHAnsi" w:cstheme="minorHAnsi"/>
          <w:sz w:val="20"/>
          <w:szCs w:val="20"/>
          <w:lang w:val="es-EC"/>
        </w:rPr>
        <w:t xml:space="preserve">, y cualquier requerimiento de pago relacionado deberá ser recibido por nosotros en la oficina indicada, en o antes de dicha fecha.  </w:t>
      </w: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Esta garantía está sujeta a las “</w:t>
      </w:r>
      <w:r>
        <w:rPr>
          <w:rFonts w:asciiTheme="minorHAnsi" w:hAnsiTheme="minorHAnsi" w:cstheme="minorHAnsi"/>
          <w:i/>
          <w:sz w:val="20"/>
          <w:szCs w:val="20"/>
          <w:lang w:val="es-EC"/>
        </w:rPr>
        <w:t xml:space="preserve">Reglas Uniformes de la CCI relativas a las garantías contra primera solicitud - URDG” (Uniform Rules for Demand Gurantees), Revisión de 2010  Publicación CCI </w:t>
      </w:r>
      <w:r>
        <w:rPr>
          <w:rFonts w:asciiTheme="minorHAnsi" w:hAnsiTheme="minorHAnsi" w:cstheme="minorHAnsi"/>
          <w:sz w:val="20"/>
          <w:szCs w:val="20"/>
          <w:lang w:val="es-EC"/>
        </w:rPr>
        <w:t>No. 758, con excepción de la declaración bajo el Artículo 15 (a) que se excluye por el presente documento*.</w:t>
      </w:r>
    </w:p>
    <w:p>
      <w:pPr>
        <w:spacing w:before="60" w:after="60" w:line="240" w:lineRule="auto"/>
        <w:jc w:val="center"/>
        <w:rPr>
          <w:rFonts w:asciiTheme="minorHAnsi" w:hAnsiTheme="minorHAnsi" w:cstheme="minorHAnsi"/>
          <w:sz w:val="20"/>
          <w:szCs w:val="20"/>
          <w:lang w:val="es-EC"/>
        </w:rPr>
      </w:pPr>
      <w:r>
        <w:rPr>
          <w:rFonts w:asciiTheme="minorHAnsi" w:hAnsiTheme="minorHAnsi" w:cstheme="minorHAnsi"/>
          <w:sz w:val="20"/>
          <w:szCs w:val="20"/>
          <w:lang w:val="es-EC"/>
        </w:rPr>
        <w:t xml:space="preserve">_____________________ </w:t>
      </w:r>
      <w:r>
        <w:rPr>
          <w:rFonts w:asciiTheme="minorHAnsi" w:hAnsiTheme="minorHAnsi" w:cstheme="minorHAnsi"/>
          <w:sz w:val="20"/>
          <w:szCs w:val="20"/>
          <w:lang w:val="es-EC"/>
        </w:rPr>
        <w:br w:type="textWrapping"/>
      </w:r>
      <w:r>
        <w:rPr>
          <w:rFonts w:asciiTheme="minorHAnsi" w:hAnsiTheme="minorHAnsi" w:cstheme="minorHAnsi"/>
          <w:i/>
          <w:sz w:val="20"/>
          <w:szCs w:val="20"/>
          <w:lang w:val="es-EC"/>
        </w:rPr>
        <w:t>[firmas(s)]</w:t>
      </w:r>
    </w:p>
    <w:p>
      <w:pPr>
        <w:pStyle w:val="36"/>
        <w:spacing w:before="60" w:after="60" w:line="240" w:lineRule="auto"/>
        <w:jc w:val="both"/>
        <w:rPr>
          <w:rFonts w:asciiTheme="minorHAnsi" w:hAnsiTheme="minorHAnsi" w:cstheme="minorHAnsi"/>
          <w:i/>
          <w:sz w:val="20"/>
          <w:szCs w:val="20"/>
          <w:lang w:val="es-EC"/>
        </w:rPr>
      </w:pPr>
      <w:r>
        <w:rPr>
          <w:rFonts w:asciiTheme="minorHAnsi" w:hAnsiTheme="minorHAnsi" w:cstheme="minorHAnsi"/>
          <w:i/>
          <w:sz w:val="20"/>
          <w:szCs w:val="20"/>
          <w:lang w:val="es-EC"/>
        </w:rPr>
        <w:t xml:space="preserve">Nota: *[Para información del Organismo Ejecutor: El articulo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pPr>
        <w:keepNext/>
        <w:keepLines/>
        <w:spacing w:before="240" w:after="0" w:line="240" w:lineRule="auto"/>
        <w:jc w:val="center"/>
        <w:outlineLvl w:val="1"/>
        <w:rPr>
          <w:rFonts w:asciiTheme="minorHAnsi" w:hAnsiTheme="minorHAnsi" w:cstheme="minorHAnsi"/>
          <w:sz w:val="20"/>
          <w:szCs w:val="20"/>
          <w:lang w:val="es-EC"/>
        </w:rPr>
      </w:pPr>
      <w:r>
        <w:rPr>
          <w:rFonts w:asciiTheme="minorHAnsi" w:hAnsiTheme="minorHAnsi" w:cstheme="minorHAnsi"/>
          <w:i/>
          <w:sz w:val="20"/>
          <w:szCs w:val="20"/>
          <w:lang w:val="es-EC"/>
        </w:rPr>
        <w:br w:type="page"/>
      </w:r>
      <w:bookmarkStart w:id="417" w:name="_Toc471555886"/>
      <w:bookmarkStart w:id="418" w:name="_Toc348001573"/>
      <w:bookmarkStart w:id="419" w:name="_Toc73333194"/>
      <w:bookmarkStart w:id="420" w:name="_Toc428352208"/>
      <w:bookmarkStart w:id="421" w:name="_Toc438907299"/>
      <w:bookmarkStart w:id="422" w:name="_Toc438907199"/>
      <w:bookmarkStart w:id="423" w:name="_Toc478103535"/>
      <w:r>
        <w:rPr>
          <w:rFonts w:asciiTheme="minorHAnsi" w:hAnsiTheme="minorHAnsi" w:cstheme="minorHAnsi"/>
          <w:b/>
          <w:sz w:val="20"/>
          <w:szCs w:val="20"/>
          <w:lang w:val="es-EC"/>
        </w:rPr>
        <w:t>Garantía de Anticipo</w:t>
      </w:r>
      <w:bookmarkEnd w:id="417"/>
      <w:bookmarkEnd w:id="418"/>
      <w:bookmarkEnd w:id="419"/>
      <w:bookmarkEnd w:id="420"/>
      <w:bookmarkEnd w:id="421"/>
      <w:bookmarkEnd w:id="422"/>
      <w:bookmarkEnd w:id="423"/>
    </w:p>
    <w:p>
      <w:pPr>
        <w:pStyle w:val="31"/>
        <w:spacing w:before="60" w:beforeAutospacing="0" w:after="60" w:afterAutospacing="0"/>
        <w:rPr>
          <w:rFonts w:asciiTheme="minorHAnsi" w:hAnsiTheme="minorHAnsi" w:cstheme="minorHAnsi"/>
          <w:i/>
          <w:sz w:val="20"/>
          <w:szCs w:val="20"/>
          <w:lang w:val="es-EC"/>
        </w:rPr>
      </w:pPr>
    </w:p>
    <w:p>
      <w:pPr>
        <w:pStyle w:val="31"/>
        <w:spacing w:before="60" w:beforeAutospacing="0" w:after="60" w:afterAutospacing="0"/>
        <w:rPr>
          <w:rFonts w:asciiTheme="minorHAnsi" w:hAnsiTheme="minorHAnsi" w:cstheme="minorHAnsi"/>
          <w:i/>
          <w:iCs/>
          <w:sz w:val="20"/>
          <w:szCs w:val="20"/>
          <w:lang w:val="es-EC"/>
        </w:rPr>
      </w:pPr>
      <w:r>
        <w:rPr>
          <w:rFonts w:asciiTheme="minorHAnsi" w:hAnsiTheme="minorHAnsi" w:cstheme="minorHAnsi"/>
          <w:i/>
          <w:iCs/>
          <w:sz w:val="20"/>
          <w:szCs w:val="20"/>
          <w:lang w:val="es-EC"/>
        </w:rPr>
        <w:t>[El banco, a solicitud del Oferente seleccionado, completará este formulario de acuerdo con las instrucciones indicadas]</w:t>
      </w:r>
    </w:p>
    <w:p>
      <w:pPr>
        <w:spacing w:before="60" w:after="60" w:line="240" w:lineRule="auto"/>
        <w:rPr>
          <w:rFonts w:asciiTheme="minorHAnsi" w:hAnsiTheme="minorHAnsi" w:cstheme="minorHAnsi"/>
          <w:i/>
          <w:sz w:val="20"/>
          <w:szCs w:val="20"/>
          <w:lang w:val="es-EC"/>
        </w:rPr>
      </w:pPr>
    </w:p>
    <w:p>
      <w:pPr>
        <w:spacing w:before="60" w:after="60" w:line="240" w:lineRule="auto"/>
        <w:rPr>
          <w:rFonts w:asciiTheme="minorHAnsi" w:hAnsiTheme="minorHAnsi" w:cstheme="minorHAnsi"/>
          <w:i/>
          <w:sz w:val="20"/>
          <w:szCs w:val="20"/>
          <w:lang w:val="es-EC"/>
        </w:rPr>
      </w:pPr>
      <w:r>
        <w:rPr>
          <w:rFonts w:asciiTheme="minorHAnsi" w:hAnsiTheme="minorHAnsi" w:cstheme="minorHAnsi"/>
          <w:i/>
          <w:sz w:val="20"/>
          <w:szCs w:val="20"/>
          <w:lang w:val="es-EC"/>
        </w:rPr>
        <w:t>[Papel con membrete del Garante o Código de identificación SWIFT]</w:t>
      </w:r>
    </w:p>
    <w:p>
      <w:pPr>
        <w:pStyle w:val="32"/>
        <w:spacing w:before="60" w:after="60"/>
        <w:rPr>
          <w:rFonts w:asciiTheme="minorHAnsi" w:hAnsiTheme="minorHAnsi" w:cstheme="minorHAnsi"/>
          <w:i/>
          <w:sz w:val="20"/>
          <w:szCs w:val="20"/>
          <w:lang w:val="es-EC"/>
        </w:rPr>
      </w:pPr>
    </w:p>
    <w:p>
      <w:pPr>
        <w:pStyle w:val="31"/>
        <w:spacing w:before="60" w:beforeAutospacing="0" w:after="60" w:afterAutospacing="0"/>
        <w:rPr>
          <w:rFonts w:asciiTheme="minorHAnsi" w:hAnsiTheme="minorHAnsi" w:cstheme="minorHAnsi"/>
          <w:i/>
          <w:sz w:val="20"/>
          <w:szCs w:val="20"/>
          <w:lang w:val="es-EC"/>
        </w:rPr>
      </w:pPr>
      <w:r>
        <w:rPr>
          <w:rFonts w:asciiTheme="minorHAnsi" w:hAnsiTheme="minorHAnsi" w:cstheme="minorHAnsi"/>
          <w:b/>
          <w:sz w:val="20"/>
          <w:szCs w:val="20"/>
          <w:lang w:val="es-EC"/>
        </w:rPr>
        <w:t>Beneficiario:</w:t>
      </w:r>
      <w:r>
        <w:rPr>
          <w:rFonts w:asciiTheme="minorHAnsi" w:hAnsiTheme="minorHAnsi" w:cstheme="minorHAnsi"/>
          <w:i/>
          <w:sz w:val="20"/>
          <w:szCs w:val="20"/>
          <w:lang w:val="es-EC"/>
        </w:rPr>
        <w:t xml:space="preserve"> [indicar nombre y dirección del Comprador]</w:t>
      </w:r>
      <w:r>
        <w:rPr>
          <w:rFonts w:asciiTheme="minorHAnsi" w:hAnsiTheme="minorHAnsi" w:cstheme="minorHAnsi"/>
          <w:i/>
          <w:sz w:val="20"/>
          <w:szCs w:val="20"/>
          <w:lang w:val="es-EC"/>
        </w:rPr>
        <w:tab/>
      </w:r>
      <w:r>
        <w:rPr>
          <w:rFonts w:asciiTheme="minorHAnsi" w:hAnsiTheme="minorHAnsi" w:cstheme="minorHAnsi"/>
          <w:i/>
          <w:sz w:val="20"/>
          <w:szCs w:val="20"/>
          <w:lang w:val="es-EC"/>
        </w:rPr>
        <w:tab/>
      </w:r>
    </w:p>
    <w:p>
      <w:pPr>
        <w:pStyle w:val="31"/>
        <w:spacing w:before="60" w:beforeAutospacing="0" w:after="60" w:afterAutospacing="0"/>
        <w:rPr>
          <w:rFonts w:asciiTheme="minorHAnsi" w:hAnsiTheme="minorHAnsi" w:cstheme="minorHAnsi"/>
          <w:sz w:val="20"/>
          <w:szCs w:val="20"/>
          <w:lang w:val="es-EC"/>
        </w:rPr>
      </w:pPr>
      <w:r>
        <w:rPr>
          <w:rFonts w:asciiTheme="minorHAnsi" w:hAnsiTheme="minorHAnsi" w:cstheme="minorHAnsi"/>
          <w:b/>
          <w:sz w:val="20"/>
          <w:szCs w:val="20"/>
          <w:lang w:val="es-EC"/>
        </w:rPr>
        <w:t>Fecha:</w:t>
      </w:r>
      <w:r>
        <w:rPr>
          <w:rFonts w:asciiTheme="minorHAnsi" w:hAnsiTheme="minorHAnsi" w:cstheme="minorHAnsi"/>
          <w:i/>
          <w:sz w:val="20"/>
          <w:szCs w:val="20"/>
          <w:lang w:val="es-EC"/>
        </w:rPr>
        <w:t xml:space="preserve"> [indicar la fecha de expedición]</w:t>
      </w:r>
    </w:p>
    <w:p>
      <w:pPr>
        <w:pStyle w:val="31"/>
        <w:spacing w:before="60" w:beforeAutospacing="0" w:after="60" w:afterAutospacing="0"/>
        <w:rPr>
          <w:rFonts w:asciiTheme="minorHAnsi" w:hAnsiTheme="minorHAnsi" w:cstheme="minorHAnsi"/>
          <w:sz w:val="20"/>
          <w:szCs w:val="20"/>
          <w:lang w:val="es-EC"/>
        </w:rPr>
      </w:pPr>
      <w:r>
        <w:rPr>
          <w:rFonts w:asciiTheme="minorHAnsi" w:hAnsiTheme="minorHAnsi" w:cstheme="minorHAnsi"/>
          <w:b/>
          <w:sz w:val="20"/>
          <w:szCs w:val="20"/>
          <w:lang w:val="es-EC"/>
        </w:rPr>
        <w:t xml:space="preserve">GARANTÍA DE ANTICIPO No.: </w:t>
      </w:r>
      <w:r>
        <w:rPr>
          <w:rFonts w:asciiTheme="minorHAnsi" w:hAnsiTheme="minorHAnsi" w:cstheme="minorHAnsi"/>
          <w:i/>
          <w:sz w:val="20"/>
          <w:szCs w:val="20"/>
          <w:lang w:val="es-EC"/>
        </w:rPr>
        <w:t>[indicar el número de la Garantía]</w:t>
      </w:r>
    </w:p>
    <w:p>
      <w:pPr>
        <w:pStyle w:val="31"/>
        <w:spacing w:before="60" w:beforeAutospacing="0" w:after="60" w:afterAutospacing="0"/>
        <w:rPr>
          <w:rFonts w:asciiTheme="minorHAnsi" w:hAnsiTheme="minorHAnsi" w:cstheme="minorHAnsi"/>
          <w:sz w:val="20"/>
          <w:szCs w:val="20"/>
          <w:lang w:val="es-EC"/>
        </w:rPr>
      </w:pPr>
      <w:r>
        <w:rPr>
          <w:rFonts w:asciiTheme="minorHAnsi" w:hAnsiTheme="minorHAnsi" w:cstheme="minorHAnsi"/>
          <w:b/>
          <w:sz w:val="20"/>
          <w:szCs w:val="20"/>
          <w:lang w:val="es-EC"/>
        </w:rPr>
        <w:t>Garante:</w:t>
      </w:r>
      <w:r>
        <w:rPr>
          <w:rFonts w:asciiTheme="minorHAnsi" w:hAnsiTheme="minorHAnsi" w:cstheme="minorHAnsi"/>
          <w:i/>
          <w:sz w:val="20"/>
          <w:szCs w:val="20"/>
          <w:lang w:val="es-EC"/>
        </w:rPr>
        <w:t xml:space="preserve"> [indicar el nombre y dirección del lugar de expedición, a menos que se indique en el membrete]</w:t>
      </w:r>
    </w:p>
    <w:p>
      <w:pPr>
        <w:pStyle w:val="31"/>
        <w:spacing w:before="60" w:beforeAutospacing="0" w:after="60" w:afterAutospacing="0"/>
        <w:jc w:val="both"/>
        <w:rPr>
          <w:rFonts w:asciiTheme="minorHAnsi" w:hAnsiTheme="minorHAnsi" w:cstheme="minorHAnsi"/>
          <w:sz w:val="20"/>
          <w:szCs w:val="20"/>
          <w:lang w:val="es-EC"/>
        </w:rPr>
      </w:pP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Se nos ha informado que </w:t>
      </w:r>
      <w:r>
        <w:rPr>
          <w:rFonts w:asciiTheme="minorHAnsi" w:hAnsiTheme="minorHAnsi" w:cstheme="minorHAnsi"/>
          <w:i/>
          <w:sz w:val="20"/>
          <w:szCs w:val="20"/>
          <w:lang w:val="es-EC"/>
        </w:rPr>
        <w:t xml:space="preserve">[indique el nombre completo del Proveedor; en caso que se trate de una Asociación en Participación o Consorcio, se debe incluir el nombre de dicha Asociación en Participación o Consorcio] </w:t>
      </w:r>
      <w:r>
        <w:rPr>
          <w:rFonts w:asciiTheme="minorHAnsi" w:hAnsiTheme="minorHAnsi" w:cstheme="minorHAnsi"/>
          <w:sz w:val="20"/>
          <w:szCs w:val="20"/>
          <w:lang w:val="es-EC"/>
        </w:rPr>
        <w:t xml:space="preserve">(en adelante "el Ordenante") ha celebrado el Contrato No. </w:t>
      </w:r>
      <w:r>
        <w:rPr>
          <w:rFonts w:asciiTheme="minorHAnsi" w:hAnsiTheme="minorHAnsi" w:cstheme="minorHAnsi"/>
          <w:i/>
          <w:sz w:val="20"/>
          <w:szCs w:val="20"/>
          <w:lang w:val="es-EC"/>
        </w:rPr>
        <w:t xml:space="preserve">[Indicar el número de referencia del contrato] </w:t>
      </w:r>
      <w:r>
        <w:rPr>
          <w:rFonts w:asciiTheme="minorHAnsi" w:hAnsiTheme="minorHAnsi" w:cstheme="minorHAnsi"/>
          <w:sz w:val="20"/>
          <w:szCs w:val="20"/>
          <w:lang w:val="es-EC"/>
        </w:rPr>
        <w:t xml:space="preserve">de fecha </w:t>
      </w:r>
      <w:r>
        <w:rPr>
          <w:rFonts w:asciiTheme="minorHAnsi" w:hAnsiTheme="minorHAnsi" w:cstheme="minorHAnsi"/>
          <w:i/>
          <w:sz w:val="20"/>
          <w:szCs w:val="20"/>
          <w:lang w:val="es-EC"/>
        </w:rPr>
        <w:t>[indicar fecha]</w:t>
      </w:r>
      <w:r>
        <w:rPr>
          <w:rFonts w:asciiTheme="minorHAnsi" w:hAnsiTheme="minorHAnsi" w:cstheme="minorHAnsi"/>
          <w:sz w:val="20"/>
          <w:szCs w:val="20"/>
          <w:lang w:val="es-EC"/>
        </w:rPr>
        <w:t xml:space="preserve"> con el Beneficiario, para el suministro de </w:t>
      </w:r>
      <w:r>
        <w:rPr>
          <w:rFonts w:asciiTheme="minorHAnsi" w:hAnsiTheme="minorHAnsi" w:cstheme="minorHAnsi"/>
          <w:i/>
          <w:sz w:val="20"/>
          <w:szCs w:val="20"/>
          <w:lang w:val="es-EC"/>
        </w:rPr>
        <w:t>[indicar el nombre del contrato y una breve descripción de los Bienes y Servicios Conexos]</w:t>
      </w:r>
      <w:r>
        <w:rPr>
          <w:rFonts w:asciiTheme="minorHAnsi" w:hAnsiTheme="minorHAnsi" w:cstheme="minorHAnsi"/>
          <w:sz w:val="20"/>
          <w:szCs w:val="20"/>
          <w:lang w:val="es-EC"/>
        </w:rPr>
        <w:t xml:space="preserve">(en adelante "el Contrato"). </w:t>
      </w:r>
    </w:p>
    <w:p>
      <w:pPr>
        <w:pStyle w:val="31"/>
        <w:spacing w:before="60" w:beforeAutospacing="0" w:after="60" w:afterAutospacing="0"/>
        <w:rPr>
          <w:rFonts w:asciiTheme="minorHAnsi" w:hAnsiTheme="minorHAnsi" w:cstheme="minorHAnsi"/>
          <w:i/>
          <w:sz w:val="20"/>
          <w:szCs w:val="20"/>
          <w:lang w:val="es-EC"/>
        </w:rPr>
      </w:pP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Además, entendemos que, de acuerdo con las condiciones del Contrato, se debe hacer un pago anticipado de un monto de </w:t>
      </w:r>
      <w:r>
        <w:rPr>
          <w:rFonts w:asciiTheme="minorHAnsi" w:hAnsiTheme="minorHAnsi" w:cstheme="minorHAnsi"/>
          <w:i/>
          <w:sz w:val="20"/>
          <w:szCs w:val="20"/>
          <w:lang w:val="es-EC"/>
        </w:rPr>
        <w:t>[indicar el monto en palabras]</w:t>
      </w:r>
      <w:r>
        <w:rPr>
          <w:rFonts w:asciiTheme="minorHAnsi" w:hAnsiTheme="minorHAnsi" w:cstheme="minorHAnsi"/>
          <w:sz w:val="20"/>
          <w:szCs w:val="20"/>
          <w:lang w:val="es-EC"/>
        </w:rPr>
        <w:t xml:space="preserve"> (</w:t>
      </w:r>
      <w:r>
        <w:rPr>
          <w:rFonts w:asciiTheme="minorHAnsi" w:hAnsiTheme="minorHAnsi" w:cstheme="minorHAnsi"/>
          <w:i/>
          <w:sz w:val="20"/>
          <w:szCs w:val="20"/>
          <w:lang w:val="es-EC"/>
        </w:rPr>
        <w:t>[indicar el monto en números]</w:t>
      </w:r>
      <w:r>
        <w:rPr>
          <w:rFonts w:asciiTheme="minorHAnsi" w:hAnsiTheme="minorHAnsi" w:cstheme="minorHAnsi"/>
          <w:sz w:val="20"/>
          <w:szCs w:val="20"/>
          <w:lang w:val="es-EC"/>
        </w:rPr>
        <w:t>) contra una Garantía de Anticipo.</w:t>
      </w:r>
    </w:p>
    <w:p>
      <w:pPr>
        <w:pStyle w:val="31"/>
        <w:spacing w:before="60" w:beforeAutospacing="0" w:after="60" w:afterAutospacing="0"/>
        <w:jc w:val="both"/>
        <w:rPr>
          <w:rFonts w:asciiTheme="minorHAnsi" w:hAnsiTheme="minorHAnsi" w:cstheme="minorHAnsi"/>
          <w:sz w:val="20"/>
          <w:szCs w:val="20"/>
          <w:lang w:val="es-EC"/>
        </w:rPr>
      </w:pP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A solicitud del Ordenante, nosotros, el Garante, por medio del presente documento nos obligamos irrevocablemente a pagar al Beneficiario cualquier suma o sumas que en total no excedan el monto de </w:t>
      </w:r>
      <w:r>
        <w:rPr>
          <w:rFonts w:asciiTheme="minorHAnsi" w:hAnsiTheme="minorHAnsi" w:cstheme="minorHAnsi"/>
          <w:i/>
          <w:sz w:val="20"/>
          <w:szCs w:val="20"/>
          <w:lang w:val="es-EC"/>
        </w:rPr>
        <w:t>[indicar el monto en palabras]</w:t>
      </w:r>
      <w:r>
        <w:rPr>
          <w:rFonts w:asciiTheme="minorHAnsi" w:hAnsiTheme="minorHAnsi" w:cstheme="minorHAnsi"/>
          <w:sz w:val="20"/>
          <w:szCs w:val="20"/>
          <w:lang w:val="es-EC"/>
        </w:rPr>
        <w:t xml:space="preserve"> (</w:t>
      </w:r>
      <w:r>
        <w:rPr>
          <w:rFonts w:asciiTheme="minorHAnsi" w:hAnsiTheme="minorHAnsi" w:cstheme="minorHAnsi"/>
          <w:i/>
          <w:sz w:val="20"/>
          <w:szCs w:val="20"/>
          <w:lang w:val="es-EC"/>
        </w:rPr>
        <w:t>[indicar el monto en números]</w:t>
      </w:r>
      <w:r>
        <w:rPr>
          <w:rFonts w:asciiTheme="minorHAnsi" w:hAnsiTheme="minorHAnsi" w:cstheme="minorHAnsi"/>
          <w:sz w:val="20"/>
          <w:szCs w:val="20"/>
          <w:lang w:val="es-EC"/>
        </w:rPr>
        <w:t>)</w:t>
      </w:r>
      <w:r>
        <w:rPr>
          <w:rStyle w:val="43"/>
          <w:rFonts w:asciiTheme="minorHAnsi" w:hAnsiTheme="minorHAnsi" w:cstheme="minorHAnsi"/>
          <w:i/>
          <w:sz w:val="20"/>
          <w:szCs w:val="20"/>
          <w:lang w:val="es-EC"/>
        </w:rPr>
        <w:footnoteReference w:id="10" w:customMarkFollows="1"/>
        <w:t>1</w:t>
      </w:r>
      <w:r>
        <w:rPr>
          <w:rFonts w:asciiTheme="minorHAnsi" w:hAnsiTheme="minorHAnsi" w:cstheme="minorHAnsi"/>
          <w:sz w:val="20"/>
          <w:szCs w:val="20"/>
          <w:lang w:val="es-EC"/>
        </w:rPr>
        <w:t xml:space="preserve">al momento en que recibamos un requerimiento del Beneficiario acompañado de una declaración del Beneficiario en el requerimiento o en un documento independiente firmado que acompañe identifique el requerimiento, declarando que el Ordenante: </w:t>
      </w:r>
    </w:p>
    <w:p>
      <w:pPr>
        <w:pStyle w:val="75"/>
        <w:numPr>
          <w:ilvl w:val="2"/>
          <w:numId w:val="185"/>
        </w:numPr>
        <w:spacing w:before="60" w:after="60"/>
        <w:jc w:val="both"/>
        <w:rPr>
          <w:rFonts w:asciiTheme="minorHAnsi" w:hAnsiTheme="minorHAnsi" w:cstheme="minorHAnsi"/>
          <w:sz w:val="20"/>
          <w:lang w:val="es-EC"/>
        </w:rPr>
      </w:pPr>
      <w:r>
        <w:rPr>
          <w:rFonts w:asciiTheme="minorHAnsi" w:hAnsiTheme="minorHAnsi" w:cstheme="minorHAnsi"/>
          <w:sz w:val="20"/>
          <w:lang w:val="es-EC"/>
        </w:rPr>
        <w:t xml:space="preserve">Ha utilizado el pago anticipado para propósitos diferentes a la entrega de los Bienes; o </w:t>
      </w:r>
    </w:p>
    <w:p>
      <w:pPr>
        <w:pStyle w:val="75"/>
        <w:numPr>
          <w:ilvl w:val="2"/>
          <w:numId w:val="185"/>
        </w:numPr>
        <w:spacing w:before="60" w:after="60"/>
        <w:jc w:val="both"/>
        <w:rPr>
          <w:rFonts w:asciiTheme="minorHAnsi" w:hAnsiTheme="minorHAnsi" w:cstheme="minorHAnsi"/>
          <w:sz w:val="20"/>
          <w:lang w:val="es-EC"/>
        </w:rPr>
      </w:pPr>
      <w:r>
        <w:rPr>
          <w:rFonts w:asciiTheme="minorHAnsi" w:hAnsiTheme="minorHAnsi" w:cstheme="minorHAnsi"/>
          <w:sz w:val="20"/>
          <w:lang w:val="es-EC"/>
        </w:rPr>
        <w:t xml:space="preserve">No ha repagado el pago anticipado de acuerdo con las condiciones de Contrato, especificando la cantidad que el Ordenante ha dejado de pagar. </w:t>
      </w: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Cualquier requerimiento presentado bajo esta garantía podrá ser sometido luego de la presentación al Garante de un certificado del Banco del Garante que certifique que el pago anticipado a que hace referencia esta garantía ha sido acreditado al Ordenante en la cuenta número </w:t>
      </w:r>
      <w:r>
        <w:rPr>
          <w:rFonts w:asciiTheme="minorHAnsi" w:hAnsiTheme="minorHAnsi" w:cstheme="minorHAnsi"/>
          <w:i/>
          <w:sz w:val="20"/>
          <w:szCs w:val="20"/>
          <w:lang w:val="es-EC"/>
        </w:rPr>
        <w:t>[indicar número]</w:t>
      </w:r>
      <w:r>
        <w:rPr>
          <w:rFonts w:asciiTheme="minorHAnsi" w:hAnsiTheme="minorHAnsi" w:cstheme="minorHAnsi"/>
          <w:sz w:val="20"/>
          <w:szCs w:val="20"/>
          <w:lang w:val="es-EC"/>
        </w:rPr>
        <w:t xml:space="preserve">en </w:t>
      </w:r>
      <w:r>
        <w:rPr>
          <w:rFonts w:asciiTheme="minorHAnsi" w:hAnsiTheme="minorHAnsi" w:cstheme="minorHAnsi"/>
          <w:i/>
          <w:sz w:val="20"/>
          <w:szCs w:val="20"/>
          <w:lang w:val="es-EC"/>
        </w:rPr>
        <w:t>[indicar nombre y dirección del banco del Ordenante]</w:t>
      </w:r>
      <w:r>
        <w:rPr>
          <w:rFonts w:asciiTheme="minorHAnsi" w:hAnsiTheme="minorHAnsi" w:cstheme="minorHAnsi"/>
          <w:sz w:val="20"/>
          <w:szCs w:val="20"/>
          <w:lang w:val="es-EC"/>
        </w:rPr>
        <w:t>.</w:t>
      </w: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 xml:space="preserve">El monto máximo de esta garantía se reducirá progresivamente de acuerdo con los montos repagados por el Ordenante al pago anticipado de acuerdo con las copias de las declaraciones provisionales o en los certificados de pago que nos presenten. Esta garantía vencerá, a más tardar, con el recibo de la copia del certificado provisional de pago indicando que el noventa por ciento (90%) del Monto de Contrato Aceptado, se ha certificado para pago, o en la fecha </w:t>
      </w:r>
      <w:r>
        <w:rPr>
          <w:rFonts w:asciiTheme="minorHAnsi" w:hAnsiTheme="minorHAnsi" w:cstheme="minorHAnsi"/>
          <w:i/>
          <w:sz w:val="20"/>
          <w:szCs w:val="20"/>
          <w:lang w:val="es-EC"/>
        </w:rPr>
        <w:t>[indicar fecha]</w:t>
      </w:r>
      <w:r>
        <w:rPr>
          <w:rFonts w:asciiTheme="minorHAnsi" w:hAnsiTheme="minorHAnsi" w:cstheme="minorHAnsi"/>
          <w:sz w:val="20"/>
          <w:szCs w:val="20"/>
          <w:lang w:val="es-EC"/>
        </w:rPr>
        <w:t>, lo que ocurra primero. En consecuencia, cualquier solicitud de pago bajo esta garantía deberá recibirse en esta oficinal con en o antes de dicha fecha.</w:t>
      </w:r>
    </w:p>
    <w:p>
      <w:pPr>
        <w:pStyle w:val="31"/>
        <w:spacing w:before="60" w:beforeAutospacing="0" w:after="60" w:afterAutospacing="0"/>
        <w:jc w:val="both"/>
        <w:rPr>
          <w:rFonts w:asciiTheme="minorHAnsi" w:hAnsiTheme="minorHAnsi" w:cstheme="minorHAnsi"/>
          <w:sz w:val="20"/>
          <w:szCs w:val="20"/>
          <w:lang w:val="es-EC"/>
        </w:rPr>
      </w:pPr>
      <w:r>
        <w:rPr>
          <w:rFonts w:asciiTheme="minorHAnsi" w:hAnsiTheme="minorHAnsi" w:cstheme="minorHAnsi"/>
          <w:sz w:val="20"/>
          <w:szCs w:val="20"/>
          <w:lang w:val="es-EC"/>
        </w:rPr>
        <w:t>Esta garantía está sujeta a las “</w:t>
      </w:r>
      <w:r>
        <w:rPr>
          <w:rFonts w:asciiTheme="minorHAnsi" w:hAnsiTheme="minorHAnsi" w:cstheme="minorHAnsi"/>
          <w:i/>
          <w:sz w:val="20"/>
          <w:szCs w:val="20"/>
          <w:lang w:val="es-EC"/>
        </w:rPr>
        <w:t xml:space="preserve">Reglas Uniformes de la CCI relativas a las garantías contra primera solicitud - URDG” (Uniform Rules for Demand Gurantees), Revisión de 2010  Publicación CCI </w:t>
      </w:r>
      <w:r>
        <w:rPr>
          <w:rFonts w:asciiTheme="minorHAnsi" w:hAnsiTheme="minorHAnsi" w:cstheme="minorHAnsi"/>
          <w:sz w:val="20"/>
          <w:szCs w:val="20"/>
          <w:lang w:val="es-EC"/>
        </w:rPr>
        <w:t>No. 758, con excepción de la declaración bajo el Artículo 15 (a) que se excluye por el presente documento*.</w:t>
      </w:r>
    </w:p>
    <w:p>
      <w:pPr>
        <w:spacing w:before="60" w:after="60" w:line="240" w:lineRule="auto"/>
        <w:rPr>
          <w:rFonts w:asciiTheme="minorHAnsi" w:hAnsiTheme="minorHAnsi" w:cstheme="minorHAnsi"/>
          <w:sz w:val="20"/>
          <w:szCs w:val="20"/>
          <w:lang w:val="es-EC"/>
        </w:rPr>
      </w:pPr>
      <w:r>
        <w:rPr>
          <w:rFonts w:asciiTheme="minorHAnsi" w:hAnsiTheme="minorHAnsi" w:cstheme="minorHAnsi"/>
          <w:sz w:val="20"/>
          <w:szCs w:val="20"/>
          <w:lang w:val="es-EC"/>
        </w:rPr>
        <w:t xml:space="preserve">____________________ </w:t>
      </w:r>
      <w:r>
        <w:rPr>
          <w:rFonts w:asciiTheme="minorHAnsi" w:hAnsiTheme="minorHAnsi" w:cstheme="minorHAnsi"/>
          <w:sz w:val="20"/>
          <w:szCs w:val="20"/>
          <w:lang w:val="es-EC"/>
        </w:rPr>
        <w:br w:type="textWrapping"/>
      </w:r>
      <w:r>
        <w:rPr>
          <w:rFonts w:asciiTheme="minorHAnsi" w:hAnsiTheme="minorHAnsi" w:cstheme="minorHAnsi"/>
          <w:i/>
          <w:sz w:val="20"/>
          <w:szCs w:val="20"/>
          <w:lang w:val="es-EC"/>
        </w:rPr>
        <w:t>[firmas(s)]</w:t>
      </w:r>
    </w:p>
    <w:p>
      <w:pPr>
        <w:pStyle w:val="36"/>
        <w:spacing w:before="60" w:after="60" w:line="240" w:lineRule="auto"/>
        <w:jc w:val="both"/>
        <w:rPr>
          <w:rFonts w:asciiTheme="minorHAnsi" w:hAnsiTheme="minorHAnsi" w:cstheme="minorHAnsi"/>
          <w:i/>
          <w:sz w:val="20"/>
          <w:szCs w:val="20"/>
          <w:lang w:val="es-EC"/>
        </w:rPr>
      </w:pPr>
      <w:r>
        <w:rPr>
          <w:rFonts w:asciiTheme="minorHAnsi" w:hAnsiTheme="minorHAnsi" w:cstheme="minorHAnsi"/>
          <w:sz w:val="20"/>
          <w:szCs w:val="20"/>
          <w:lang w:val="es-EC"/>
        </w:rPr>
        <w:br w:type="textWrapping"/>
      </w:r>
      <w:r>
        <w:rPr>
          <w:rFonts w:asciiTheme="minorHAnsi" w:hAnsiTheme="minorHAnsi" w:cstheme="minorHAnsi"/>
          <w:i/>
          <w:sz w:val="20"/>
          <w:szCs w:val="20"/>
          <w:lang w:val="es-EC"/>
        </w:rPr>
        <w:t xml:space="preserve">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pPr>
        <w:rPr>
          <w:rFonts w:asciiTheme="minorHAnsi" w:hAnsiTheme="minorHAnsi" w:cstheme="minorHAnsi"/>
          <w:sz w:val="20"/>
          <w:szCs w:val="20"/>
          <w:lang w:val="es-EC"/>
        </w:rPr>
      </w:pPr>
    </w:p>
    <w:p>
      <w:pPr>
        <w:rPr>
          <w:rFonts w:asciiTheme="minorHAnsi" w:hAnsiTheme="minorHAnsi" w:cstheme="minorHAnsi"/>
          <w:sz w:val="20"/>
          <w:szCs w:val="20"/>
          <w:lang w:val="es-EC"/>
        </w:rPr>
      </w:pPr>
    </w:p>
    <w:tbl>
      <w:tblPr>
        <w:tblStyle w:val="47"/>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6"/>
        <w:gridCol w:w="3167"/>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6" w:type="dxa"/>
          </w:tcPr>
          <w:p>
            <w:pPr>
              <w:rPr>
                <w:rFonts w:eastAsia="Arial Unicode MS" w:asciiTheme="minorHAnsi" w:hAnsiTheme="minorHAnsi" w:cstheme="minorHAnsi"/>
                <w:sz w:val="20"/>
                <w:szCs w:val="20"/>
                <w:lang w:val="es-EC"/>
              </w:rPr>
            </w:pPr>
            <w:r>
              <w:rPr>
                <w:rFonts w:eastAsia="Arial Unicode MS" w:asciiTheme="minorHAnsi" w:hAnsiTheme="minorHAnsi" w:cstheme="minorHAnsi"/>
                <w:sz w:val="20"/>
                <w:szCs w:val="20"/>
                <w:lang w:val="es-EC"/>
              </w:rPr>
              <w:t>Elaborado por:</w:t>
            </w:r>
          </w:p>
        </w:tc>
        <w:tc>
          <w:tcPr>
            <w:tcW w:w="3167" w:type="dxa"/>
          </w:tcPr>
          <w:p>
            <w:pPr>
              <w:rPr>
                <w:rFonts w:eastAsia="Arial Unicode MS" w:asciiTheme="minorHAnsi" w:hAnsiTheme="minorHAnsi" w:cstheme="minorHAnsi"/>
                <w:sz w:val="20"/>
                <w:szCs w:val="20"/>
                <w:lang w:val="es-EC"/>
              </w:rPr>
            </w:pPr>
            <w:r>
              <w:rPr>
                <w:rFonts w:eastAsia="Arial Unicode MS" w:asciiTheme="minorHAnsi" w:hAnsiTheme="minorHAnsi" w:cstheme="minorHAnsi"/>
                <w:sz w:val="20"/>
                <w:szCs w:val="20"/>
                <w:lang w:val="es-EC"/>
              </w:rPr>
              <w:t xml:space="preserve">Ing. Mercedes Cadena </w:t>
            </w:r>
          </w:p>
          <w:p>
            <w:pPr>
              <w:rPr>
                <w:rFonts w:eastAsia="Arial Unicode MS" w:asciiTheme="minorHAnsi" w:hAnsiTheme="minorHAnsi" w:cstheme="minorHAnsi"/>
                <w:sz w:val="20"/>
                <w:szCs w:val="20"/>
                <w:lang w:val="es-EC"/>
              </w:rPr>
            </w:pPr>
            <w:r>
              <w:rPr>
                <w:rFonts w:eastAsia="Arial Unicode MS" w:asciiTheme="minorHAnsi" w:hAnsiTheme="minorHAnsi" w:cstheme="minorHAnsi"/>
                <w:sz w:val="20"/>
                <w:szCs w:val="20"/>
                <w:lang w:val="es-EC"/>
              </w:rPr>
              <w:t>ANALISTA DEL PROYECTO BID 2</w:t>
            </w:r>
          </w:p>
        </w:tc>
        <w:tc>
          <w:tcPr>
            <w:tcW w:w="3167" w:type="dxa"/>
          </w:tcPr>
          <w:p>
            <w:pPr>
              <w:rPr>
                <w:rFonts w:eastAsia="Arial Unicode MS" w:asciiTheme="minorHAnsi" w:hAnsiTheme="minorHAnsi" w:cstheme="minorHAnsi"/>
                <w:sz w:val="20"/>
                <w:szCs w:val="20"/>
                <w:lang w:val="es-EC"/>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6" w:type="dxa"/>
          </w:tcPr>
          <w:p>
            <w:pPr>
              <w:rPr>
                <w:rFonts w:eastAsia="Arial Unicode MS" w:asciiTheme="minorHAnsi" w:hAnsiTheme="minorHAnsi" w:cstheme="minorHAnsi"/>
                <w:sz w:val="20"/>
                <w:szCs w:val="20"/>
                <w:lang w:val="es-EC"/>
              </w:rPr>
            </w:pPr>
            <w:r>
              <w:rPr>
                <w:rFonts w:eastAsia="Arial Unicode MS" w:asciiTheme="minorHAnsi" w:hAnsiTheme="minorHAnsi" w:cstheme="minorHAnsi"/>
                <w:sz w:val="20"/>
                <w:szCs w:val="20"/>
                <w:lang w:val="es-EC"/>
              </w:rPr>
              <w:t>Aprobado por:</w:t>
            </w:r>
          </w:p>
        </w:tc>
        <w:tc>
          <w:tcPr>
            <w:tcW w:w="3167" w:type="dxa"/>
          </w:tcPr>
          <w:p>
            <w:pPr>
              <w:rPr>
                <w:rFonts w:eastAsia="Arial Unicode MS" w:asciiTheme="minorHAnsi" w:hAnsiTheme="minorHAnsi" w:cstheme="minorHAnsi"/>
                <w:sz w:val="20"/>
                <w:szCs w:val="20"/>
                <w:lang w:val="es-EC"/>
              </w:rPr>
            </w:pPr>
            <w:r>
              <w:rPr>
                <w:rFonts w:eastAsia="Arial Unicode MS" w:asciiTheme="minorHAnsi" w:hAnsiTheme="minorHAnsi" w:cstheme="minorHAnsi"/>
                <w:sz w:val="20"/>
                <w:szCs w:val="20"/>
                <w:lang w:val="es-EC"/>
              </w:rPr>
              <w:t>Econ. Cristhian Franco</w:t>
            </w:r>
          </w:p>
          <w:p>
            <w:pPr>
              <w:rPr>
                <w:rFonts w:eastAsia="Arial Unicode MS" w:asciiTheme="minorHAnsi" w:hAnsiTheme="minorHAnsi" w:cstheme="minorHAnsi"/>
                <w:sz w:val="20"/>
                <w:szCs w:val="20"/>
                <w:lang w:val="es-EC"/>
              </w:rPr>
            </w:pPr>
            <w:r>
              <w:rPr>
                <w:rFonts w:eastAsia="Arial Unicode MS" w:asciiTheme="minorHAnsi" w:hAnsiTheme="minorHAnsi" w:cstheme="minorHAnsi"/>
                <w:sz w:val="20"/>
                <w:szCs w:val="20"/>
                <w:lang w:val="es-EC"/>
              </w:rPr>
              <w:t>GERENTE DEL PROYECTO BID</w:t>
            </w:r>
          </w:p>
        </w:tc>
        <w:tc>
          <w:tcPr>
            <w:tcW w:w="3167" w:type="dxa"/>
          </w:tcPr>
          <w:p>
            <w:pPr>
              <w:rPr>
                <w:rFonts w:eastAsia="Arial Unicode MS" w:asciiTheme="minorHAnsi" w:hAnsiTheme="minorHAnsi" w:cstheme="minorHAnsi"/>
                <w:sz w:val="20"/>
                <w:szCs w:val="20"/>
                <w:lang w:val="es-EC"/>
              </w:rPr>
            </w:pPr>
          </w:p>
        </w:tc>
      </w:tr>
    </w:tbl>
    <w:p>
      <w:pPr>
        <w:rPr>
          <w:rFonts w:asciiTheme="minorHAnsi" w:hAnsiTheme="minorHAnsi" w:cstheme="minorHAnsi"/>
          <w:sz w:val="20"/>
          <w:szCs w:val="20"/>
          <w:lang w:val="es-EC"/>
        </w:rPr>
      </w:pPr>
    </w:p>
    <w:p>
      <w:pPr>
        <w:rPr>
          <w:rFonts w:asciiTheme="minorHAnsi" w:hAnsiTheme="minorHAnsi" w:cstheme="minorHAnsi"/>
          <w:sz w:val="20"/>
          <w:szCs w:val="20"/>
          <w:lang w:val="es-EC"/>
        </w:rPr>
      </w:pPr>
    </w:p>
    <w:p>
      <w:pPr>
        <w:rPr>
          <w:rFonts w:asciiTheme="minorHAnsi" w:hAnsiTheme="minorHAnsi" w:cstheme="minorHAnsi"/>
          <w:sz w:val="20"/>
          <w:szCs w:val="20"/>
          <w:lang w:val="es-EC"/>
        </w:rPr>
      </w:pPr>
    </w:p>
    <w:p>
      <w:pPr>
        <w:rPr>
          <w:rFonts w:asciiTheme="minorHAnsi" w:hAnsiTheme="minorHAnsi" w:cstheme="minorHAnsi"/>
          <w:sz w:val="20"/>
          <w:szCs w:val="20"/>
          <w:lang w:val="es-EC"/>
        </w:rPr>
      </w:pPr>
    </w:p>
    <w:p>
      <w:pPr>
        <w:rPr>
          <w:rFonts w:asciiTheme="minorHAnsi" w:hAnsiTheme="minorHAnsi" w:cstheme="minorHAnsi"/>
          <w:sz w:val="20"/>
          <w:szCs w:val="20"/>
          <w:lang w:val="es-EC"/>
        </w:rPr>
      </w:pPr>
    </w:p>
    <w:p>
      <w:pPr>
        <w:rPr>
          <w:rFonts w:asciiTheme="minorHAnsi" w:hAnsiTheme="minorHAnsi" w:cstheme="minorHAnsi"/>
          <w:sz w:val="20"/>
          <w:szCs w:val="20"/>
          <w:lang w:val="es-EC"/>
        </w:rPr>
      </w:pPr>
    </w:p>
    <w:p>
      <w:pPr>
        <w:rPr>
          <w:rFonts w:asciiTheme="minorHAnsi" w:hAnsiTheme="minorHAnsi" w:cstheme="minorHAnsi"/>
          <w:sz w:val="20"/>
          <w:szCs w:val="20"/>
          <w:lang w:val="es-EC"/>
        </w:rPr>
      </w:pPr>
    </w:p>
    <w:p>
      <w:pPr>
        <w:rPr>
          <w:rFonts w:asciiTheme="minorHAnsi" w:hAnsiTheme="minorHAnsi" w:cstheme="minorHAnsi"/>
          <w:sz w:val="20"/>
          <w:szCs w:val="20"/>
          <w:lang w:val="es-EC"/>
        </w:rPr>
      </w:pPr>
    </w:p>
    <w:p>
      <w:pPr>
        <w:rPr>
          <w:rFonts w:asciiTheme="minorHAnsi" w:hAnsiTheme="minorHAnsi" w:cstheme="minorHAnsi"/>
          <w:sz w:val="20"/>
          <w:szCs w:val="20"/>
          <w:lang w:val="es-EC"/>
        </w:rPr>
        <w:sectPr>
          <w:headerReference r:id="rId16" w:type="default"/>
          <w:pgSz w:w="12240" w:h="15840"/>
          <w:pgMar w:top="1440" w:right="1440" w:bottom="1440" w:left="1440" w:header="720" w:footer="720" w:gutter="0"/>
          <w:cols w:space="720" w:num="1"/>
          <w:docGrid w:linePitch="360" w:charSpace="0"/>
        </w:sectPr>
      </w:pPr>
    </w:p>
    <w:p>
      <w:pPr>
        <w:rPr>
          <w:rFonts w:asciiTheme="minorHAnsi" w:hAnsiTheme="minorHAnsi" w:cstheme="minorHAnsi"/>
          <w:sz w:val="20"/>
          <w:szCs w:val="20"/>
          <w:lang w:val="es-EC"/>
        </w:rPr>
      </w:pPr>
    </w:p>
    <w:p>
      <w:pPr>
        <w:keepNext/>
        <w:keepLines/>
        <w:spacing w:before="240" w:after="0" w:line="240" w:lineRule="auto"/>
        <w:jc w:val="center"/>
        <w:outlineLvl w:val="1"/>
        <w:rPr>
          <w:rFonts w:eastAsia="Times New Roman" w:asciiTheme="minorHAnsi" w:hAnsiTheme="minorHAnsi" w:cstheme="minorHAnsi"/>
          <w:b/>
          <w:iCs/>
          <w:sz w:val="20"/>
          <w:szCs w:val="20"/>
          <w:lang w:val="es-EC"/>
        </w:rPr>
      </w:pPr>
      <w:bookmarkStart w:id="424" w:name="_Toc478103536"/>
      <w:r>
        <w:rPr>
          <w:rFonts w:eastAsia="Times New Roman" w:asciiTheme="minorHAnsi" w:hAnsiTheme="minorHAnsi" w:cstheme="minorHAnsi"/>
          <w:b/>
          <w:iCs/>
          <w:sz w:val="20"/>
          <w:szCs w:val="20"/>
          <w:lang w:val="es-EC"/>
        </w:rPr>
        <w:t>LLAMADO A LICITACIÓN PÚBLICA INTERNACIONAL</w:t>
      </w:r>
      <w:bookmarkEnd w:id="424"/>
    </w:p>
    <w:p>
      <w:pPr>
        <w:pStyle w:val="92"/>
        <w:tabs>
          <w:tab w:val="clear" w:pos="-720"/>
        </w:tabs>
        <w:spacing w:before="60" w:after="60"/>
        <w:rPr>
          <w:rFonts w:asciiTheme="minorHAnsi" w:hAnsiTheme="minorHAnsi" w:cstheme="minorHAnsi"/>
          <w:iCs/>
          <w:sz w:val="20"/>
          <w:lang w:val="es-EC"/>
        </w:rPr>
      </w:pPr>
    </w:p>
    <w:p>
      <w:pPr>
        <w:shd w:val="clear" w:color="auto" w:fill="FFFFFF"/>
        <w:jc w:val="center"/>
        <w:rPr>
          <w:rFonts w:asciiTheme="minorHAnsi" w:hAnsiTheme="minorHAnsi" w:cstheme="minorHAnsi"/>
          <w:iCs/>
          <w:sz w:val="20"/>
          <w:szCs w:val="20"/>
          <w:lang w:val="es-EC"/>
        </w:rPr>
      </w:pPr>
      <w:r>
        <w:rPr>
          <w:rFonts w:asciiTheme="minorHAnsi" w:hAnsiTheme="minorHAnsi" w:cstheme="minorHAnsi"/>
          <w:iCs/>
          <w:sz w:val="20"/>
          <w:szCs w:val="20"/>
          <w:lang w:val="es-EC"/>
        </w:rPr>
        <w:t>República del Ecuador</w:t>
      </w:r>
    </w:p>
    <w:p>
      <w:pPr>
        <w:shd w:val="clear" w:color="auto" w:fill="FFFFFF"/>
        <w:rPr>
          <w:rFonts w:asciiTheme="minorHAnsi" w:hAnsiTheme="minorHAnsi" w:cstheme="minorHAnsi"/>
          <w:iCs/>
          <w:sz w:val="20"/>
          <w:szCs w:val="20"/>
          <w:lang w:val="es-EC"/>
        </w:rPr>
      </w:pPr>
    </w:p>
    <w:p>
      <w:pPr>
        <w:shd w:val="clear" w:color="auto" w:fill="FFFFFF"/>
        <w:jc w:val="center"/>
        <w:rPr>
          <w:rFonts w:asciiTheme="minorHAnsi" w:hAnsiTheme="minorHAnsi" w:cstheme="minorHAnsi"/>
          <w:iCs/>
          <w:sz w:val="20"/>
          <w:szCs w:val="20"/>
          <w:lang w:val="es-EC"/>
        </w:rPr>
      </w:pPr>
      <w:r>
        <w:rPr>
          <w:rFonts w:asciiTheme="minorHAnsi" w:hAnsiTheme="minorHAnsi" w:cstheme="minorHAnsi"/>
          <w:iCs/>
          <w:sz w:val="20"/>
          <w:szCs w:val="20"/>
          <w:lang w:val="es-EC"/>
        </w:rPr>
        <w:t>Ministerio de Salud Pública</w:t>
      </w:r>
    </w:p>
    <w:p>
      <w:pPr>
        <w:shd w:val="clear" w:color="auto" w:fill="FFFFFF"/>
        <w:jc w:val="center"/>
        <w:rPr>
          <w:rFonts w:asciiTheme="minorHAnsi" w:hAnsiTheme="minorHAnsi" w:cstheme="minorHAnsi"/>
          <w:iCs/>
          <w:sz w:val="20"/>
          <w:szCs w:val="20"/>
          <w:lang w:val="es-EC"/>
        </w:rPr>
      </w:pPr>
      <w:r>
        <w:rPr>
          <w:rFonts w:asciiTheme="minorHAnsi" w:hAnsiTheme="minorHAnsi" w:cstheme="minorHAnsi"/>
          <w:iCs/>
          <w:sz w:val="20"/>
          <w:szCs w:val="20"/>
          <w:lang w:val="es-EC"/>
        </w:rPr>
        <w:t>Programa de Apoyo a la Extensión en la Protección Social y Atención Integral en Salud</w:t>
      </w:r>
    </w:p>
    <w:p>
      <w:pPr>
        <w:shd w:val="clear" w:color="auto" w:fill="FFFFFF"/>
        <w:jc w:val="center"/>
        <w:rPr>
          <w:rFonts w:asciiTheme="minorHAnsi" w:hAnsiTheme="minorHAnsi" w:cstheme="minorHAnsi"/>
          <w:iCs/>
          <w:sz w:val="20"/>
          <w:szCs w:val="20"/>
          <w:lang w:val="es-EC"/>
        </w:rPr>
      </w:pPr>
      <w:r>
        <w:rPr>
          <w:rFonts w:asciiTheme="minorHAnsi" w:hAnsiTheme="minorHAnsi" w:cstheme="minorHAnsi"/>
          <w:iCs/>
          <w:sz w:val="20"/>
          <w:szCs w:val="20"/>
          <w:lang w:val="es-EC"/>
        </w:rPr>
        <w:t>Préstamo BID Nro. 4364/OC-EC</w:t>
      </w:r>
    </w:p>
    <w:p>
      <w:pPr>
        <w:pStyle w:val="27"/>
        <w:jc w:val="center"/>
        <w:rPr>
          <w:rFonts w:asciiTheme="minorHAnsi" w:hAnsiTheme="minorHAnsi" w:cstheme="minorHAnsi"/>
          <w:b/>
          <w:bCs/>
          <w:sz w:val="20"/>
          <w:szCs w:val="20"/>
          <w:shd w:val="clear" w:color="auto" w:fill="FFFFFF"/>
          <w:lang w:val="es-EC"/>
        </w:rPr>
      </w:pPr>
      <w:r>
        <w:rPr>
          <w:rFonts w:asciiTheme="minorHAnsi" w:hAnsiTheme="minorHAnsi" w:cstheme="minorHAnsi"/>
          <w:b/>
          <w:sz w:val="20"/>
          <w:szCs w:val="20"/>
          <w:lang w:val="es-EC"/>
        </w:rPr>
        <w:t xml:space="preserve"> “ADQUISICIÓN DE EQUIPOS DE NEONATOLOGÍA PARA HOSPITALES DE SEGUNDO Y TERCER NIVEL DE ATENCIÓN PARA LAS ZONAS 1, 4 Y 9  (EQUIPAMIENTO DE NEONATOLOGIA EN HOSPITALES PRIORIZADOS INSTALADO)”.</w:t>
      </w:r>
      <w:r>
        <w:rPr>
          <w:rFonts w:asciiTheme="minorHAnsi" w:hAnsiTheme="minorHAnsi" w:cstheme="minorHAnsi"/>
          <w:b/>
          <w:bCs/>
          <w:sz w:val="20"/>
          <w:szCs w:val="20"/>
          <w:shd w:val="clear" w:color="auto" w:fill="FFFFFF"/>
          <w:lang w:val="es-EC"/>
        </w:rPr>
        <w:t xml:space="preserve">” </w:t>
      </w:r>
    </w:p>
    <w:p>
      <w:pPr>
        <w:autoSpaceDE w:val="0"/>
        <w:autoSpaceDN w:val="0"/>
        <w:adjustRightInd w:val="0"/>
        <w:jc w:val="center"/>
        <w:rPr>
          <w:rFonts w:asciiTheme="minorHAnsi" w:hAnsiTheme="minorHAnsi" w:cstheme="minorHAnsi"/>
          <w:iCs/>
          <w:sz w:val="20"/>
          <w:szCs w:val="20"/>
          <w:lang w:val="es-EC"/>
        </w:rPr>
      </w:pPr>
      <w:r>
        <w:rPr>
          <w:rFonts w:asciiTheme="minorHAnsi" w:hAnsiTheme="minorHAnsi" w:cstheme="minorHAnsi"/>
          <w:iCs/>
          <w:sz w:val="20"/>
          <w:szCs w:val="20"/>
          <w:lang w:val="es-EC"/>
        </w:rPr>
        <w:t xml:space="preserve">LPI-4364-001-2019 </w:t>
      </w:r>
    </w:p>
    <w:p>
      <w:pPr>
        <w:jc w:val="center"/>
        <w:rPr>
          <w:rFonts w:asciiTheme="minorHAnsi" w:hAnsiTheme="minorHAnsi" w:cstheme="minorHAnsi"/>
          <w:iCs/>
          <w:sz w:val="20"/>
          <w:szCs w:val="20"/>
          <w:lang w:val="es-EC"/>
        </w:rPr>
      </w:pPr>
    </w:p>
    <w:p>
      <w:pPr>
        <w:numPr>
          <w:ilvl w:val="0"/>
          <w:numId w:val="186"/>
        </w:numPr>
        <w:jc w:val="both"/>
        <w:rPr>
          <w:rFonts w:asciiTheme="minorHAnsi" w:hAnsiTheme="minorHAnsi" w:cstheme="minorHAnsi"/>
          <w:sz w:val="20"/>
          <w:szCs w:val="20"/>
          <w:lang w:val="es-EC" w:eastAsia="es-EC"/>
        </w:rPr>
      </w:pPr>
      <w:r>
        <w:rPr>
          <w:rFonts w:asciiTheme="minorHAnsi" w:hAnsiTheme="minorHAnsi" w:cstheme="minorHAnsi"/>
          <w:sz w:val="20"/>
          <w:szCs w:val="20"/>
          <w:lang w:val="es-EC" w:eastAsia="es-EC"/>
        </w:rPr>
        <w:t>Este llamado a Licitación se emite como resultado del Aviso General de Adquisiciones que para este Proyecto fuese publicado en el Development Business, edición No. IDB758-06/19</w:t>
      </w:r>
    </w:p>
    <w:p>
      <w:pPr>
        <w:pStyle w:val="64"/>
        <w:numPr>
          <w:ilvl w:val="0"/>
          <w:numId w:val="186"/>
        </w:numPr>
        <w:spacing w:before="100" w:beforeAutospacing="1" w:after="100" w:afterAutospacing="1" w:line="240" w:lineRule="auto"/>
        <w:jc w:val="both"/>
        <w:rPr>
          <w:rFonts w:eastAsia="Times New Roman" w:asciiTheme="minorHAnsi" w:hAnsiTheme="minorHAnsi" w:cstheme="minorHAnsi"/>
          <w:sz w:val="20"/>
          <w:szCs w:val="20"/>
          <w:lang w:val="es-EC" w:eastAsia="es-EC"/>
        </w:rPr>
      </w:pPr>
      <w:r>
        <w:rPr>
          <w:rFonts w:asciiTheme="minorHAnsi" w:hAnsiTheme="minorHAnsi" w:cstheme="minorHAnsi"/>
          <w:sz w:val="20"/>
          <w:szCs w:val="20"/>
          <w:lang w:val="es-EC"/>
        </w:rPr>
        <w:t>La República del Ecuador ha recibido recursos del Banco Interamericano de Desarrollo para financiar el costo del Programa Multifase de Mejora de la Calidad en la Prestación de los Servicios Sociales – Fase I, y se propone utilizar parte de los fondos de este financiamiento para efectuar los pagos bajo el Contrato de PRÉSTAMO BID 4364/OC-EC.</w:t>
      </w:r>
    </w:p>
    <w:p>
      <w:pPr>
        <w:pStyle w:val="64"/>
        <w:rPr>
          <w:rFonts w:eastAsia="Times New Roman" w:asciiTheme="minorHAnsi" w:hAnsiTheme="minorHAnsi" w:cstheme="minorHAnsi"/>
          <w:sz w:val="20"/>
          <w:szCs w:val="20"/>
          <w:lang w:val="es-EC" w:eastAsia="es-EC"/>
        </w:rPr>
      </w:pPr>
    </w:p>
    <w:p>
      <w:pPr>
        <w:pStyle w:val="64"/>
        <w:numPr>
          <w:ilvl w:val="0"/>
          <w:numId w:val="186"/>
        </w:numPr>
        <w:spacing w:before="100" w:beforeAutospacing="1" w:after="100" w:afterAutospacing="1" w:line="240" w:lineRule="auto"/>
        <w:jc w:val="both"/>
        <w:rPr>
          <w:rFonts w:asciiTheme="minorHAnsi" w:hAnsiTheme="minorHAnsi" w:cstheme="minorHAnsi"/>
          <w:sz w:val="20"/>
          <w:szCs w:val="20"/>
          <w:lang w:val="es-EC"/>
        </w:rPr>
      </w:pPr>
      <w:r>
        <w:rPr>
          <w:rFonts w:asciiTheme="minorHAnsi" w:hAnsiTheme="minorHAnsi" w:cstheme="minorHAnsi"/>
          <w:sz w:val="20"/>
          <w:szCs w:val="20"/>
          <w:lang w:val="es-EC"/>
        </w:rPr>
        <w:t>El</w:t>
      </w:r>
      <w:r>
        <w:rPr>
          <w:rFonts w:eastAsia="Times New Roman" w:asciiTheme="minorHAnsi" w:hAnsiTheme="minorHAnsi" w:cstheme="minorHAnsi"/>
          <w:sz w:val="20"/>
          <w:szCs w:val="20"/>
          <w:lang w:val="es-EC" w:eastAsia="es-EC"/>
        </w:rPr>
        <w:t xml:space="preserve"> Ministerio de Salud Pública, entidad ejecutora del programa invita a los Oferentes elegibles a presentar ofertas selladas para </w:t>
      </w:r>
      <w:r>
        <w:rPr>
          <w:rFonts w:asciiTheme="minorHAnsi" w:hAnsiTheme="minorHAnsi" w:cstheme="minorHAnsi"/>
          <w:sz w:val="20"/>
          <w:szCs w:val="20"/>
          <w:lang w:val="es-EC"/>
        </w:rPr>
        <w:t xml:space="preserve">la </w:t>
      </w:r>
      <w:r>
        <w:rPr>
          <w:rFonts w:asciiTheme="minorHAnsi" w:hAnsiTheme="minorHAnsi" w:cstheme="minorHAnsi"/>
          <w:b/>
          <w:sz w:val="20"/>
          <w:szCs w:val="20"/>
          <w:lang w:val="es-EC"/>
        </w:rPr>
        <w:t>“ADQUISICIÓN DE EQUIPOS DE NEONATOLOGÍA PARA HOSPITALES DE SEGUNDO Y TERCER NIVEL DE ATENCIÓN PARA LAS ZONAS 1, 4 Y 9  (EQUIPAMIENTO DE NEONATOLOGIA EN HOSPITALES PRIORIZADOS INSTALADO)”.</w:t>
      </w:r>
    </w:p>
    <w:p>
      <w:pPr>
        <w:pStyle w:val="64"/>
        <w:spacing w:before="100" w:beforeAutospacing="1" w:after="100" w:afterAutospacing="1" w:line="240" w:lineRule="auto"/>
        <w:jc w:val="both"/>
        <w:rPr>
          <w:rFonts w:eastAsia="Times New Roman" w:asciiTheme="minorHAnsi" w:hAnsiTheme="minorHAnsi" w:cstheme="minorHAnsi"/>
          <w:sz w:val="20"/>
          <w:szCs w:val="20"/>
          <w:lang w:val="es-EC" w:eastAsia="es-EC"/>
        </w:rPr>
      </w:pPr>
    </w:p>
    <w:p>
      <w:pPr>
        <w:pStyle w:val="64"/>
        <w:numPr>
          <w:ilvl w:val="0"/>
          <w:numId w:val="186"/>
        </w:numPr>
        <w:spacing w:before="100" w:beforeAutospacing="1" w:after="100" w:afterAutospacing="1" w:line="240" w:lineRule="auto"/>
        <w:jc w:val="both"/>
        <w:rPr>
          <w:rFonts w:eastAsia="Times New Roman" w:asciiTheme="minorHAnsi" w:hAnsiTheme="minorHAnsi" w:cstheme="minorHAnsi"/>
          <w:sz w:val="20"/>
          <w:szCs w:val="20"/>
          <w:lang w:val="es-EC" w:eastAsia="es-EC"/>
        </w:rPr>
      </w:pPr>
      <w:r>
        <w:rPr>
          <w:rFonts w:eastAsia="Times New Roman" w:asciiTheme="minorHAnsi" w:hAnsiTheme="minorHAnsi" w:cstheme="minorHAnsi"/>
          <w:sz w:val="20"/>
          <w:szCs w:val="20"/>
          <w:lang w:val="es-EC" w:eastAsia="es-EC"/>
        </w:rPr>
        <w:t xml:space="preserve">La licitación se efectuará conforme a los procedimientos de Licitación Pública Internacional establecidos en la publicación del Banco Interamericano de Desarrollo titulada Políticas para la Adquisición de Obras y Bienes GN2349-9, financiados por el Banco Interamericano de Desarrollo, y está abierta a todos los Oferentes de países elegibles, según se definen en dichas normas. </w:t>
      </w:r>
    </w:p>
    <w:p>
      <w:pPr>
        <w:pStyle w:val="64"/>
        <w:rPr>
          <w:rFonts w:eastAsia="Times New Roman" w:asciiTheme="minorHAnsi" w:hAnsiTheme="minorHAnsi" w:cstheme="minorHAnsi"/>
          <w:sz w:val="20"/>
          <w:szCs w:val="20"/>
          <w:lang w:val="es-EC" w:eastAsia="es-EC"/>
        </w:rPr>
      </w:pPr>
    </w:p>
    <w:p>
      <w:pPr>
        <w:pStyle w:val="64"/>
        <w:numPr>
          <w:ilvl w:val="0"/>
          <w:numId w:val="186"/>
        </w:numPr>
        <w:spacing w:before="100" w:beforeAutospacing="1" w:after="100" w:afterAutospacing="1" w:line="240" w:lineRule="auto"/>
        <w:jc w:val="both"/>
        <w:rPr>
          <w:rFonts w:asciiTheme="minorHAnsi" w:hAnsiTheme="minorHAnsi" w:cstheme="minorHAnsi"/>
          <w:b/>
          <w:sz w:val="20"/>
          <w:szCs w:val="20"/>
          <w:shd w:val="clear" w:color="auto" w:fill="FFFFFF"/>
          <w:lang w:val="es-EC"/>
        </w:rPr>
      </w:pPr>
      <w:r>
        <w:rPr>
          <w:rFonts w:asciiTheme="minorHAnsi" w:hAnsiTheme="minorHAnsi" w:cstheme="minorHAnsi"/>
          <w:spacing w:val="-2"/>
          <w:sz w:val="20"/>
          <w:szCs w:val="20"/>
          <w:lang w:val="es-EC"/>
        </w:rPr>
        <w:t xml:space="preserve">Los Oferentes elegibles que estén interesados podrán obtener información adicional de: Proyecto BID-MSP, Econ. Cristhian Franco, correo electrónico </w:t>
      </w:r>
      <w:r>
        <w:fldChar w:fldCharType="begin"/>
      </w:r>
      <w:r>
        <w:instrText xml:space="preserve"> HYPERLINK "mailto:proyectobid@mspsalud.gob.ec" </w:instrText>
      </w:r>
      <w:r>
        <w:fldChar w:fldCharType="separate"/>
      </w:r>
      <w:r>
        <w:rPr>
          <w:rStyle w:val="44"/>
          <w:rFonts w:asciiTheme="minorHAnsi" w:hAnsiTheme="minorHAnsi" w:cstheme="minorHAnsi"/>
          <w:spacing w:val="-2"/>
          <w:sz w:val="20"/>
          <w:szCs w:val="20"/>
          <w:lang w:val="es-EC"/>
        </w:rPr>
        <w:t>proyecto</w:t>
      </w:r>
      <w:r>
        <w:rPr>
          <w:rStyle w:val="44"/>
          <w:rFonts w:asciiTheme="minorHAnsi" w:hAnsiTheme="minorHAnsi" w:cstheme="minorHAnsi"/>
          <w:spacing w:val="-2"/>
          <w:sz w:val="20"/>
          <w:szCs w:val="20"/>
          <w:lang w:val="es-ES"/>
        </w:rPr>
        <w:t>.</w:t>
      </w:r>
      <w:r>
        <w:rPr>
          <w:rStyle w:val="44"/>
          <w:rFonts w:asciiTheme="minorHAnsi" w:hAnsiTheme="minorHAnsi" w:cstheme="minorHAnsi"/>
          <w:spacing w:val="-2"/>
          <w:sz w:val="20"/>
          <w:szCs w:val="20"/>
          <w:lang w:val="es-EC"/>
        </w:rPr>
        <w:t>bid@mspsalud.gob.ec</w:t>
      </w:r>
      <w:r>
        <w:rPr>
          <w:rStyle w:val="44"/>
          <w:rFonts w:asciiTheme="minorHAnsi" w:hAnsiTheme="minorHAnsi" w:cstheme="minorHAnsi"/>
          <w:spacing w:val="-2"/>
          <w:sz w:val="20"/>
          <w:szCs w:val="20"/>
          <w:lang w:val="es-EC"/>
        </w:rPr>
        <w:fldChar w:fldCharType="end"/>
      </w:r>
      <w:r>
        <w:rPr>
          <w:rStyle w:val="44"/>
          <w:rFonts w:asciiTheme="minorHAnsi" w:hAnsiTheme="minorHAnsi" w:cstheme="minorHAnsi"/>
          <w:spacing w:val="-2"/>
          <w:sz w:val="20"/>
          <w:szCs w:val="20"/>
          <w:lang w:val="es-EC"/>
        </w:rPr>
        <w:t>,</w:t>
      </w:r>
      <w:r>
        <w:rPr>
          <w:rFonts w:asciiTheme="minorHAnsi" w:hAnsiTheme="minorHAnsi" w:cstheme="minorHAnsi"/>
          <w:spacing w:val="-2"/>
          <w:sz w:val="20"/>
          <w:szCs w:val="20"/>
          <w:lang w:val="es-EC"/>
        </w:rPr>
        <w:t xml:space="preserve"> </w:t>
      </w:r>
      <w:r>
        <w:rPr>
          <w:rFonts w:asciiTheme="minorHAnsi" w:hAnsiTheme="minorHAnsi" w:cstheme="minorHAnsi"/>
          <w:sz w:val="20"/>
          <w:szCs w:val="20"/>
          <w:lang w:val="es-EC"/>
        </w:rPr>
        <w:t xml:space="preserve">mediante presentación de una solicitud por escrito </w:t>
      </w:r>
      <w:r>
        <w:rPr>
          <w:rFonts w:asciiTheme="minorHAnsi" w:hAnsiTheme="minorHAnsi" w:cstheme="minorHAnsi"/>
          <w:spacing w:val="-2"/>
          <w:sz w:val="20"/>
          <w:szCs w:val="20"/>
          <w:lang w:val="es-EC"/>
        </w:rPr>
        <w:t>o revisar los documentos de licitación en la dirección indicada al final de este Llamado.</w:t>
      </w:r>
    </w:p>
    <w:p>
      <w:pPr>
        <w:pStyle w:val="64"/>
        <w:rPr>
          <w:rFonts w:asciiTheme="minorHAnsi" w:hAnsiTheme="minorHAnsi" w:cstheme="minorHAnsi"/>
          <w:b/>
          <w:sz w:val="20"/>
          <w:szCs w:val="20"/>
          <w:shd w:val="clear" w:color="auto" w:fill="FFFFFF"/>
          <w:lang w:val="es-EC"/>
        </w:rPr>
      </w:pPr>
    </w:p>
    <w:p>
      <w:pPr>
        <w:pStyle w:val="64"/>
        <w:numPr>
          <w:ilvl w:val="0"/>
          <w:numId w:val="186"/>
        </w:numPr>
        <w:spacing w:before="60" w:after="60" w:line="240" w:lineRule="auto"/>
        <w:jc w:val="both"/>
        <w:rPr>
          <w:rFonts w:asciiTheme="minorHAnsi" w:hAnsiTheme="minorHAnsi" w:cstheme="minorHAnsi"/>
          <w:spacing w:val="-2"/>
          <w:sz w:val="20"/>
          <w:szCs w:val="20"/>
          <w:lang w:val="es-EC"/>
        </w:rPr>
      </w:pPr>
      <w:r>
        <w:rPr>
          <w:rFonts w:asciiTheme="minorHAnsi" w:hAnsiTheme="minorHAnsi" w:cstheme="minorHAnsi"/>
          <w:spacing w:val="-2"/>
          <w:sz w:val="20"/>
          <w:szCs w:val="20"/>
          <w:lang w:val="es-EC"/>
        </w:rPr>
        <w:t>Los requisitos de calificaciones incluyen requisitos vinculados a la Capacidad financiera, capacidad técnica y experiencia específica (contratos similares) y cumplimiento de los bienes con las Especificaciones Técnicas. No se otorgará un Margen de Preferencia a contratistas nacionales elegibles. Mayores detalles se proporcionan en los Documentos de Licitación.</w:t>
      </w:r>
    </w:p>
    <w:p>
      <w:pPr>
        <w:spacing w:before="60" w:after="60"/>
        <w:jc w:val="both"/>
        <w:rPr>
          <w:rFonts w:asciiTheme="minorHAnsi" w:hAnsiTheme="minorHAnsi" w:cstheme="minorHAnsi"/>
          <w:spacing w:val="-2"/>
          <w:sz w:val="20"/>
          <w:szCs w:val="20"/>
          <w:lang w:val="es-EC"/>
        </w:rPr>
      </w:pPr>
    </w:p>
    <w:p>
      <w:pPr>
        <w:pStyle w:val="64"/>
        <w:numPr>
          <w:ilvl w:val="0"/>
          <w:numId w:val="186"/>
        </w:numPr>
        <w:spacing w:before="60" w:after="60" w:line="240" w:lineRule="auto"/>
        <w:jc w:val="both"/>
        <w:rPr>
          <w:rFonts w:asciiTheme="minorHAnsi" w:hAnsiTheme="minorHAnsi" w:cstheme="minorHAnsi"/>
          <w:spacing w:val="-2"/>
          <w:sz w:val="20"/>
          <w:szCs w:val="20"/>
          <w:lang w:val="es-EC"/>
        </w:rPr>
      </w:pPr>
      <w:r>
        <w:rPr>
          <w:rFonts w:asciiTheme="minorHAnsi" w:hAnsiTheme="minorHAnsi" w:cstheme="minorHAnsi"/>
          <w:spacing w:val="-2"/>
          <w:sz w:val="20"/>
          <w:szCs w:val="20"/>
          <w:lang w:val="es-EC"/>
        </w:rPr>
        <w:t xml:space="preserve">Los Oferentes interesados podrán descargar un juego completo de los Documentos de Licitación en español, de manera gratuita, en el siguiente enlace: Portal Compras Públicas </w:t>
      </w:r>
      <w:r>
        <w:fldChar w:fldCharType="begin"/>
      </w:r>
      <w:r>
        <w:instrText xml:space="preserve"> HYPERLINK "http://www.compraspublicas.gob.ec" </w:instrText>
      </w:r>
      <w:r>
        <w:fldChar w:fldCharType="separate"/>
      </w:r>
      <w:r>
        <w:rPr>
          <w:rStyle w:val="44"/>
          <w:rFonts w:asciiTheme="minorHAnsi" w:hAnsiTheme="minorHAnsi" w:cstheme="minorHAnsi"/>
          <w:spacing w:val="-2"/>
          <w:sz w:val="20"/>
          <w:szCs w:val="20"/>
          <w:lang w:val="es-EC"/>
        </w:rPr>
        <w:t>www.compraspublicas.gob.ec</w:t>
      </w:r>
      <w:r>
        <w:rPr>
          <w:rStyle w:val="44"/>
          <w:rFonts w:asciiTheme="minorHAnsi" w:hAnsiTheme="minorHAnsi" w:cstheme="minorHAnsi"/>
          <w:spacing w:val="-2"/>
          <w:sz w:val="20"/>
          <w:szCs w:val="20"/>
          <w:lang w:val="es-EC"/>
        </w:rPr>
        <w:fldChar w:fldCharType="end"/>
      </w:r>
      <w:r>
        <w:rPr>
          <w:rFonts w:asciiTheme="minorHAnsi" w:hAnsiTheme="minorHAnsi" w:cstheme="minorHAnsi"/>
          <w:spacing w:val="-2"/>
          <w:sz w:val="20"/>
          <w:szCs w:val="20"/>
          <w:lang w:val="es-EC"/>
        </w:rPr>
        <w:t xml:space="preserve">, portal del Ministerio de Salud Pública </w:t>
      </w:r>
      <w:r>
        <w:fldChar w:fldCharType="begin"/>
      </w:r>
      <w:r>
        <w:instrText xml:space="preserve"> HYPERLINK "https://www.salud.gob.ec/proyecto-bid-4364-multifase/" </w:instrText>
      </w:r>
      <w:r>
        <w:fldChar w:fldCharType="separate"/>
      </w:r>
      <w:r>
        <w:rPr>
          <w:rStyle w:val="44"/>
          <w:lang w:val="es-ES"/>
        </w:rPr>
        <w:t>https://www.salud.gob.ec/proyecto-bid-4364-multifase/</w:t>
      </w:r>
      <w:r>
        <w:rPr>
          <w:rStyle w:val="44"/>
          <w:lang w:val="es-ES"/>
        </w:rPr>
        <w:fldChar w:fldCharType="end"/>
      </w:r>
      <w:r>
        <w:rPr>
          <w:rFonts w:asciiTheme="minorHAnsi" w:hAnsiTheme="minorHAnsi" w:cstheme="minorHAnsi"/>
          <w:spacing w:val="-2"/>
          <w:sz w:val="20"/>
          <w:szCs w:val="20"/>
          <w:lang w:val="es-EC"/>
        </w:rPr>
        <w:t xml:space="preserve">; y, United Nations Development Business </w:t>
      </w:r>
      <w:r>
        <w:fldChar w:fldCharType="begin"/>
      </w:r>
      <w:r>
        <w:instrText xml:space="preserve"> HYPERLINK "http://www.devbusiness.com" </w:instrText>
      </w:r>
      <w:r>
        <w:fldChar w:fldCharType="separate"/>
      </w:r>
      <w:r>
        <w:rPr>
          <w:rStyle w:val="44"/>
          <w:rFonts w:asciiTheme="minorHAnsi" w:hAnsiTheme="minorHAnsi" w:cstheme="minorHAnsi"/>
          <w:spacing w:val="-2"/>
          <w:sz w:val="20"/>
          <w:szCs w:val="20"/>
          <w:lang w:val="es-EC"/>
        </w:rPr>
        <w:t>www.devbusiness.com</w:t>
      </w:r>
      <w:r>
        <w:rPr>
          <w:rStyle w:val="44"/>
          <w:rFonts w:asciiTheme="minorHAnsi" w:hAnsiTheme="minorHAnsi" w:cstheme="minorHAnsi"/>
          <w:spacing w:val="-2"/>
          <w:sz w:val="20"/>
          <w:szCs w:val="20"/>
          <w:lang w:val="es-EC"/>
        </w:rPr>
        <w:fldChar w:fldCharType="end"/>
      </w:r>
      <w:r>
        <w:rPr>
          <w:rFonts w:asciiTheme="minorHAnsi" w:hAnsiTheme="minorHAnsi" w:cstheme="minorHAnsi"/>
          <w:spacing w:val="-2"/>
          <w:sz w:val="20"/>
          <w:szCs w:val="20"/>
          <w:lang w:val="es-EC"/>
        </w:rPr>
        <w:t>.</w:t>
      </w:r>
    </w:p>
    <w:p>
      <w:pPr>
        <w:pStyle w:val="64"/>
        <w:spacing w:before="60" w:after="60" w:line="240" w:lineRule="auto"/>
        <w:jc w:val="both"/>
        <w:rPr>
          <w:rFonts w:asciiTheme="minorHAnsi" w:hAnsiTheme="minorHAnsi" w:cstheme="minorHAnsi"/>
          <w:spacing w:val="-2"/>
          <w:sz w:val="20"/>
          <w:szCs w:val="20"/>
          <w:lang w:val="es-EC"/>
        </w:rPr>
      </w:pPr>
    </w:p>
    <w:p>
      <w:pPr>
        <w:pStyle w:val="64"/>
        <w:numPr>
          <w:ilvl w:val="0"/>
          <w:numId w:val="186"/>
        </w:numPr>
        <w:spacing w:before="60" w:after="60" w:line="240" w:lineRule="auto"/>
        <w:jc w:val="both"/>
        <w:rPr>
          <w:rFonts w:asciiTheme="minorHAnsi" w:hAnsiTheme="minorHAnsi" w:cstheme="minorHAnsi"/>
          <w:spacing w:val="-2"/>
          <w:sz w:val="20"/>
          <w:szCs w:val="20"/>
          <w:lang w:val="es-EC"/>
        </w:rPr>
      </w:pPr>
      <w:r>
        <w:rPr>
          <w:rFonts w:asciiTheme="minorHAnsi" w:hAnsiTheme="minorHAnsi" w:cstheme="minorHAnsi"/>
          <w:spacing w:val="-2"/>
          <w:sz w:val="20"/>
          <w:szCs w:val="20"/>
          <w:lang w:val="es-EC"/>
        </w:rPr>
        <w:t>Las Ofertas deberán ser entregadas en la dirección señalada al final de este llamado a más tardar a las 10:00 horas del 27 de diciembre de 2019. Las ofertas electrónicas no serán permitidas. Las Ofertas que se reciban fuera de plazo serán rechazadas. Las Ofertas se abrirán en presencia de los representantes de los Oferentes que deseen asistir en persona a la dirección indicada al final de este Llamado, a las 11:00 horas del 27 de diciembre de  2019. Todas las Ofertas deberán estar acompañadas de una “Declaración de Mantenimiento de la Oferta”.</w:t>
      </w:r>
    </w:p>
    <w:p>
      <w:pPr>
        <w:pStyle w:val="64"/>
        <w:spacing w:before="60" w:after="60" w:line="240" w:lineRule="auto"/>
        <w:jc w:val="both"/>
        <w:rPr>
          <w:rFonts w:asciiTheme="minorHAnsi" w:hAnsiTheme="minorHAnsi" w:cstheme="minorHAnsi"/>
          <w:spacing w:val="-2"/>
          <w:sz w:val="20"/>
          <w:szCs w:val="20"/>
          <w:lang w:val="es-EC"/>
        </w:rPr>
      </w:pPr>
    </w:p>
    <w:p>
      <w:pPr>
        <w:pStyle w:val="64"/>
        <w:numPr>
          <w:ilvl w:val="0"/>
          <w:numId w:val="186"/>
        </w:numPr>
        <w:spacing w:before="60" w:after="60" w:line="240" w:lineRule="auto"/>
        <w:jc w:val="both"/>
        <w:rPr>
          <w:rFonts w:asciiTheme="minorHAnsi" w:hAnsiTheme="minorHAnsi" w:cstheme="minorHAnsi"/>
          <w:spacing w:val="-2"/>
          <w:sz w:val="20"/>
          <w:szCs w:val="20"/>
          <w:lang w:val="es-EC"/>
        </w:rPr>
      </w:pPr>
      <w:r>
        <w:rPr>
          <w:rFonts w:asciiTheme="minorHAnsi" w:hAnsiTheme="minorHAnsi" w:cstheme="minorHAnsi"/>
          <w:spacing w:val="-2"/>
          <w:sz w:val="20"/>
          <w:szCs w:val="20"/>
          <w:lang w:val="es-EC"/>
        </w:rPr>
        <w:t xml:space="preserve">Se recibirán preguntas sobre el referido proceso hasta 21 (vente y un) días antes de la presentación de ofertas al  correo electrónico </w:t>
      </w:r>
      <w:r>
        <w:fldChar w:fldCharType="begin"/>
      </w:r>
      <w:r>
        <w:instrText xml:space="preserve"> HYPERLINK "mailto:proyectobid@mspsalud.gob.ec" </w:instrText>
      </w:r>
      <w:r>
        <w:fldChar w:fldCharType="separate"/>
      </w:r>
      <w:r>
        <w:rPr>
          <w:rStyle w:val="44"/>
          <w:rFonts w:asciiTheme="minorHAnsi" w:hAnsiTheme="minorHAnsi" w:cstheme="minorHAnsi"/>
          <w:spacing w:val="-2"/>
          <w:sz w:val="20"/>
          <w:szCs w:val="20"/>
          <w:lang w:val="es-EC"/>
        </w:rPr>
        <w:t>proyecto</w:t>
      </w:r>
      <w:r>
        <w:rPr>
          <w:rStyle w:val="44"/>
          <w:rFonts w:asciiTheme="minorHAnsi" w:hAnsiTheme="minorHAnsi" w:cstheme="minorHAnsi"/>
          <w:spacing w:val="-2"/>
          <w:sz w:val="20"/>
          <w:szCs w:val="20"/>
          <w:lang w:val="es-ES"/>
        </w:rPr>
        <w:t>.</w:t>
      </w:r>
      <w:r>
        <w:rPr>
          <w:rStyle w:val="44"/>
          <w:rFonts w:asciiTheme="minorHAnsi" w:hAnsiTheme="minorHAnsi" w:cstheme="minorHAnsi"/>
          <w:spacing w:val="-2"/>
          <w:sz w:val="20"/>
          <w:szCs w:val="20"/>
          <w:lang w:val="es-EC"/>
        </w:rPr>
        <w:t>bid@mspsalud.gob.ec</w:t>
      </w:r>
      <w:r>
        <w:rPr>
          <w:rStyle w:val="44"/>
          <w:rFonts w:asciiTheme="minorHAnsi" w:hAnsiTheme="minorHAnsi" w:cstheme="minorHAnsi"/>
          <w:spacing w:val="-2"/>
          <w:sz w:val="20"/>
          <w:szCs w:val="20"/>
          <w:lang w:val="es-EC"/>
        </w:rPr>
        <w:fldChar w:fldCharType="end"/>
      </w:r>
      <w:r>
        <w:rPr>
          <w:rFonts w:asciiTheme="minorHAnsi" w:hAnsiTheme="minorHAnsi" w:cstheme="minorHAnsi"/>
          <w:spacing w:val="-2"/>
          <w:sz w:val="20"/>
          <w:szCs w:val="20"/>
          <w:lang w:val="es-EC"/>
        </w:rPr>
        <w:t xml:space="preserve">. </w:t>
      </w:r>
    </w:p>
    <w:p>
      <w:pPr>
        <w:pStyle w:val="64"/>
        <w:rPr>
          <w:rFonts w:asciiTheme="minorHAnsi" w:hAnsiTheme="minorHAnsi" w:cstheme="minorHAnsi"/>
          <w:spacing w:val="-2"/>
          <w:sz w:val="20"/>
          <w:szCs w:val="20"/>
          <w:lang w:val="es-EC"/>
        </w:rPr>
      </w:pPr>
    </w:p>
    <w:p>
      <w:pPr>
        <w:pStyle w:val="64"/>
        <w:numPr>
          <w:ilvl w:val="0"/>
          <w:numId w:val="186"/>
        </w:numPr>
        <w:spacing w:before="60" w:after="60" w:line="240" w:lineRule="auto"/>
        <w:jc w:val="both"/>
        <w:rPr>
          <w:rFonts w:asciiTheme="minorHAnsi" w:hAnsiTheme="minorHAnsi" w:cstheme="minorHAnsi"/>
          <w:spacing w:val="-2"/>
          <w:sz w:val="20"/>
          <w:szCs w:val="20"/>
          <w:lang w:val="es-EC"/>
        </w:rPr>
      </w:pPr>
      <w:r>
        <w:rPr>
          <w:rFonts w:asciiTheme="minorHAnsi" w:hAnsiTheme="minorHAnsi" w:cstheme="minorHAnsi"/>
          <w:sz w:val="20"/>
          <w:szCs w:val="20"/>
          <w:shd w:val="clear" w:color="auto" w:fill="FFFFFF"/>
          <w:lang w:val="es-EC"/>
        </w:rPr>
        <w:t xml:space="preserve">La dirección referida arriba es: </w:t>
      </w:r>
      <w:r>
        <w:rPr>
          <w:rFonts w:asciiTheme="minorHAnsi" w:hAnsiTheme="minorHAnsi" w:cstheme="minorHAnsi"/>
          <w:sz w:val="20"/>
          <w:szCs w:val="20"/>
          <w:lang w:val="es-EC"/>
        </w:rPr>
        <w:t>Plataforma Gubernamental de Desarrollo Social, Av. Quitumbe Ñan y Amaru Ñan</w:t>
      </w:r>
      <w:r>
        <w:rPr>
          <w:rFonts w:asciiTheme="minorHAnsi" w:hAnsiTheme="minorHAnsi" w:cstheme="minorHAnsi"/>
          <w:sz w:val="20"/>
          <w:szCs w:val="20"/>
          <w:shd w:val="clear" w:color="auto" w:fill="FFFFFF"/>
          <w:lang w:val="es-EC"/>
        </w:rPr>
        <w:t xml:space="preserve"> tercer piso  – oficina 308/ Proyecto BID – MSP / Ministerio de Salud Pública</w:t>
      </w:r>
      <w:r>
        <w:rPr>
          <w:rFonts w:asciiTheme="minorHAnsi" w:hAnsiTheme="minorHAnsi" w:cstheme="minorHAnsi"/>
          <w:spacing w:val="-2"/>
          <w:sz w:val="20"/>
          <w:szCs w:val="20"/>
          <w:lang w:val="es-EC"/>
        </w:rPr>
        <w:t xml:space="preserve"> </w:t>
      </w:r>
      <w:r>
        <w:rPr>
          <w:rFonts w:asciiTheme="minorHAnsi" w:hAnsiTheme="minorHAnsi" w:cstheme="minorHAnsi"/>
          <w:sz w:val="20"/>
          <w:szCs w:val="20"/>
          <w:shd w:val="clear" w:color="auto" w:fill="FFFFFF"/>
          <w:lang w:val="es-EC"/>
        </w:rPr>
        <w:t>de lunes a viernes de 08:00 a  17:00</w:t>
      </w:r>
      <w:bookmarkStart w:id="425" w:name="_GoBack"/>
      <w:bookmarkEnd w:id="425"/>
    </w:p>
    <w:p>
      <w:pPr>
        <w:ind w:left="708"/>
        <w:jc w:val="both"/>
        <w:rPr>
          <w:rFonts w:asciiTheme="minorHAnsi" w:hAnsiTheme="minorHAnsi" w:cstheme="minorHAnsi"/>
          <w:iCs/>
          <w:sz w:val="20"/>
          <w:szCs w:val="20"/>
          <w:lang w:val="es-EC"/>
        </w:rPr>
      </w:pPr>
    </w:p>
    <w:p>
      <w:pPr>
        <w:widowControl w:val="0"/>
        <w:tabs>
          <w:tab w:val="left" w:pos="780"/>
        </w:tabs>
        <w:jc w:val="both"/>
        <w:rPr>
          <w:rFonts w:asciiTheme="minorHAnsi" w:hAnsiTheme="minorHAnsi" w:cstheme="minorHAnsi"/>
          <w:iCs/>
          <w:sz w:val="20"/>
          <w:szCs w:val="20"/>
          <w:lang w:val="es-EC"/>
        </w:rPr>
      </w:pPr>
      <w:r>
        <w:rPr>
          <w:rFonts w:asciiTheme="minorHAnsi" w:hAnsiTheme="minorHAnsi" w:cstheme="minorHAnsi"/>
          <w:iCs/>
          <w:sz w:val="20"/>
          <w:szCs w:val="20"/>
          <w:lang w:val="es-EC"/>
        </w:rPr>
        <w:t xml:space="preserve">“Cualquier aclaración, notificación o información relevante referente al desarrollo del proceso se comunicará oportunamente mediante el portal web del Ministerio de Salud Pública </w:t>
      </w:r>
      <w:r>
        <w:fldChar w:fldCharType="begin"/>
      </w:r>
      <w:r>
        <w:instrText xml:space="preserve"> HYPERLINK "http://www.salud.gob.ec" \t "_blank" </w:instrText>
      </w:r>
      <w:r>
        <w:fldChar w:fldCharType="separate"/>
      </w:r>
      <w:r>
        <w:rPr>
          <w:rStyle w:val="44"/>
          <w:rFonts w:asciiTheme="minorHAnsi" w:hAnsiTheme="minorHAnsi" w:cstheme="minorHAnsi"/>
          <w:iCs/>
          <w:color w:val="auto"/>
          <w:sz w:val="20"/>
          <w:szCs w:val="20"/>
          <w:lang w:val="es-EC"/>
        </w:rPr>
        <w:t>www.salud.gob.ec</w:t>
      </w:r>
      <w:r>
        <w:rPr>
          <w:rStyle w:val="44"/>
          <w:rFonts w:asciiTheme="minorHAnsi" w:hAnsiTheme="minorHAnsi" w:cstheme="minorHAnsi"/>
          <w:iCs/>
          <w:color w:val="auto"/>
          <w:sz w:val="20"/>
          <w:szCs w:val="20"/>
          <w:lang w:val="es-EC"/>
        </w:rPr>
        <w:fldChar w:fldCharType="end"/>
      </w:r>
      <w:r>
        <w:rPr>
          <w:rFonts w:asciiTheme="minorHAnsi" w:hAnsiTheme="minorHAnsi" w:cstheme="minorHAnsi"/>
          <w:sz w:val="20"/>
          <w:szCs w:val="20"/>
          <w:lang w:val="es-EC"/>
        </w:rPr>
        <w:t xml:space="preserve"> </w:t>
      </w:r>
      <w:r>
        <w:rPr>
          <w:rFonts w:asciiTheme="minorHAnsi" w:hAnsiTheme="minorHAnsi" w:cstheme="minorHAnsi"/>
          <w:iCs/>
          <w:sz w:val="20"/>
          <w:szCs w:val="20"/>
          <w:lang w:val="es-EC"/>
        </w:rPr>
        <w:t>; y en el portal web www.devbusiness.com; por lo que se solicita a los oferentes interesados revisar periódicamente cualquier comunicación publicada por estos medios.”</w:t>
      </w:r>
    </w:p>
    <w:p>
      <w:pPr>
        <w:widowControl w:val="0"/>
        <w:tabs>
          <w:tab w:val="left" w:pos="780"/>
        </w:tabs>
        <w:jc w:val="both"/>
        <w:rPr>
          <w:rFonts w:asciiTheme="minorHAnsi" w:hAnsiTheme="minorHAnsi" w:cstheme="minorHAnsi"/>
          <w:iCs/>
          <w:sz w:val="20"/>
          <w:szCs w:val="20"/>
          <w:lang w:val="es-EC"/>
        </w:rPr>
      </w:pPr>
    </w:p>
    <w:p>
      <w:pPr>
        <w:suppressAutoHyphens/>
        <w:spacing w:before="60" w:after="60"/>
        <w:rPr>
          <w:rFonts w:asciiTheme="minorHAnsi" w:hAnsiTheme="minorHAnsi" w:cstheme="minorHAnsi"/>
          <w:b/>
          <w:iCs/>
          <w:sz w:val="20"/>
          <w:szCs w:val="20"/>
          <w:lang w:val="es-EC"/>
        </w:rPr>
      </w:pPr>
      <w:r>
        <w:rPr>
          <w:rFonts w:asciiTheme="minorHAnsi" w:hAnsiTheme="minorHAnsi" w:cstheme="minorHAnsi"/>
          <w:b/>
          <w:iCs/>
          <w:sz w:val="20"/>
          <w:szCs w:val="20"/>
          <w:lang w:val="es-EC"/>
        </w:rPr>
        <w:t>Fecha: Quito, 15 de noviembre de 2019</w:t>
      </w:r>
    </w:p>
    <w:p>
      <w:pPr>
        <w:widowControl w:val="0"/>
        <w:tabs>
          <w:tab w:val="left" w:pos="780"/>
        </w:tabs>
        <w:jc w:val="both"/>
        <w:rPr>
          <w:rFonts w:asciiTheme="minorHAnsi" w:hAnsiTheme="minorHAnsi" w:cstheme="minorHAnsi"/>
          <w:iCs/>
          <w:sz w:val="20"/>
          <w:szCs w:val="20"/>
          <w:lang w:val="es-EC"/>
        </w:rPr>
      </w:pPr>
    </w:p>
    <w:sectPr>
      <w:headerReference r:id="rId17"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Times New Roman Bold">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0"/>
    <w:family w:val="swiss"/>
    <w:pitch w:val="default"/>
    <w:sig w:usb0="FFFFFFFF" w:usb1="E9FFFFFF" w:usb2="0000003F" w:usb3="00000000" w:csb0="603F01FF" w:csb1="FFFF0000"/>
  </w:font>
  <w:font w:name="CG Times">
    <w:altName w:val="Times New Roman"/>
    <w:panose1 w:val="00000000000000000000"/>
    <w:charset w:val="00"/>
    <w:family w:val="roman"/>
    <w:pitch w:val="default"/>
    <w:sig w:usb0="00000000" w:usb1="00000000" w:usb2="00000000" w:usb3="00000000" w:csb0="00000093" w:csb1="00000000"/>
  </w:font>
  <w:font w:name="Mangal">
    <w:panose1 w:val="02040503050203030202"/>
    <w:charset w:val="00"/>
    <w:family w:val="roman"/>
    <w:pitch w:val="default"/>
    <w:sig w:usb0="00008003" w:usb1="00000000" w:usb2="00000000" w:usb3="00000000" w:csb0="00000001" w:csb1="00000000"/>
  </w:font>
  <w:font w:name="Droid Sans">
    <w:altName w:val="MS Gothic"/>
    <w:panose1 w:val="00000000000000000000"/>
    <w:charset w:val="80"/>
    <w:family w:val="auto"/>
    <w:pitch w:val="default"/>
    <w:sig w:usb0="00000000" w:usb1="00000000" w:usb2="00000000" w:usb3="00000000" w:csb0="00000000" w:csb1="00000000"/>
  </w:font>
  <w:font w:name="Lohit Hindi">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10002FF" w:usb1="4000ACFF" w:usb2="00000009" w:usb3="00000000" w:csb0="2000019F"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6"/>
      <w:tblW w:w="9576" w:type="dxa"/>
      <w:tblInd w:w="0" w:type="dxa"/>
      <w:tblBorders>
        <w:top w:val="single" w:color="808080" w:sz="18" w:space="0"/>
        <w:left w:val="none" w:color="auto" w:sz="0" w:space="0"/>
        <w:bottom w:val="none" w:color="auto" w:sz="0" w:space="0"/>
        <w:right w:val="none" w:color="auto" w:sz="0" w:space="0"/>
        <w:insideH w:val="none" w:color="auto" w:sz="0" w:space="0"/>
        <w:insideV w:val="single" w:color="808080" w:sz="18" w:space="0"/>
      </w:tblBorders>
      <w:tblLayout w:type="fixed"/>
      <w:tblCellMar>
        <w:top w:w="0" w:type="dxa"/>
        <w:left w:w="108" w:type="dxa"/>
        <w:bottom w:w="0" w:type="dxa"/>
        <w:right w:w="108" w:type="dxa"/>
      </w:tblCellMar>
    </w:tblPr>
    <w:tblGrid>
      <w:gridCol w:w="993"/>
      <w:gridCol w:w="8583"/>
    </w:tblGrid>
    <w:tr>
      <w:tblPrEx>
        <w:tblBorders>
          <w:top w:val="single" w:color="808080" w:sz="18" w:space="0"/>
          <w:left w:val="none" w:color="auto" w:sz="0" w:space="0"/>
          <w:bottom w:val="none" w:color="auto" w:sz="0" w:space="0"/>
          <w:right w:val="none" w:color="auto" w:sz="0" w:space="0"/>
          <w:insideH w:val="none" w:color="auto" w:sz="0" w:space="0"/>
          <w:insideV w:val="single" w:color="808080" w:sz="18" w:space="0"/>
        </w:tblBorders>
        <w:tblLayout w:type="fixed"/>
        <w:tblCellMar>
          <w:top w:w="0" w:type="dxa"/>
          <w:left w:w="108" w:type="dxa"/>
          <w:bottom w:w="0" w:type="dxa"/>
          <w:right w:w="108" w:type="dxa"/>
        </w:tblCellMar>
      </w:tblPrEx>
      <w:tc>
        <w:tcPr>
          <w:tcW w:w="993" w:type="dxa"/>
        </w:tcPr>
        <w:p>
          <w:pPr>
            <w:pStyle w:val="32"/>
            <w:jc w:val="right"/>
            <w:rPr>
              <w:b/>
              <w:color w:val="4F81BD"/>
              <w:sz w:val="20"/>
              <w:szCs w:val="20"/>
            </w:rPr>
          </w:pPr>
          <w:r>
            <w:rPr>
              <w:sz w:val="20"/>
              <w:szCs w:val="20"/>
            </w:rPr>
            <w:fldChar w:fldCharType="begin"/>
          </w:r>
          <w:r>
            <w:rPr>
              <w:sz w:val="20"/>
              <w:szCs w:val="20"/>
            </w:rPr>
            <w:instrText xml:space="preserve"> PAGE   \* MERGEFORMAT </w:instrText>
          </w:r>
          <w:r>
            <w:rPr>
              <w:sz w:val="20"/>
              <w:szCs w:val="20"/>
            </w:rPr>
            <w:fldChar w:fldCharType="separate"/>
          </w:r>
          <w:r>
            <w:rPr>
              <w:b/>
              <w:color w:val="4F81BD"/>
              <w:sz w:val="20"/>
              <w:szCs w:val="20"/>
            </w:rPr>
            <w:t>11</w:t>
          </w:r>
          <w:r>
            <w:rPr>
              <w:sz w:val="20"/>
              <w:szCs w:val="20"/>
            </w:rPr>
            <w:fldChar w:fldCharType="end"/>
          </w:r>
        </w:p>
      </w:tc>
      <w:tc>
        <w:tcPr>
          <w:tcW w:w="8583" w:type="dxa"/>
        </w:tcPr>
        <w:p>
          <w:pPr>
            <w:pStyle w:val="32"/>
            <w:jc w:val="center"/>
            <w:rPr>
              <w:sz w:val="18"/>
              <w:szCs w:val="18"/>
              <w:lang w:val="es-EC"/>
            </w:rPr>
          </w:pPr>
          <w:r>
            <w:rPr>
              <w:sz w:val="18"/>
              <w:szCs w:val="18"/>
            </w:rPr>
            <w:tab/>
          </w:r>
          <w:r>
            <w:rPr>
              <w:sz w:val="18"/>
              <w:szCs w:val="18"/>
              <w:lang w:val="es-EC"/>
            </w:rPr>
            <w:t>Av. Quitumbe Ñan y Av. Amaru Ñan - Plataforma Gubernamental de Desarrollo Social (Quito – Ecuador)</w:t>
          </w:r>
        </w:p>
        <w:p>
          <w:pPr>
            <w:pStyle w:val="32"/>
            <w:jc w:val="center"/>
            <w:rPr>
              <w:sz w:val="18"/>
              <w:szCs w:val="18"/>
              <w:lang w:val="es-EC"/>
            </w:rPr>
          </w:pPr>
          <w:r>
            <w:rPr>
              <w:sz w:val="18"/>
              <w:szCs w:val="18"/>
              <w:lang w:val="es-EC"/>
            </w:rPr>
            <w:t>Teléfono</w:t>
          </w:r>
          <w:r>
            <w:rPr>
              <w:sz w:val="18"/>
              <w:szCs w:val="18"/>
            </w:rPr>
            <w:t>: 593-2 381-4400</w:t>
          </w:r>
        </w:p>
        <w:p>
          <w:pPr>
            <w:pStyle w:val="32"/>
            <w:tabs>
              <w:tab w:val="left" w:pos="2190"/>
              <w:tab w:val="left" w:pos="3630"/>
              <w:tab w:val="clear" w:pos="4680"/>
              <w:tab w:val="clear" w:pos="9360"/>
            </w:tabs>
          </w:pPr>
          <w:r>
            <w:tab/>
          </w:r>
        </w:p>
      </w:tc>
    </w:tr>
  </w:tbl>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pPr>
  </w:p>
  <w:p>
    <w:pPr>
      <w:pStyle w:val="32"/>
      <w:jc w:val="center"/>
      <w:rPr>
        <w:lang w:val="es-EC"/>
      </w:rPr>
    </w:pPr>
    <w:r>
      <w:rPr>
        <w:lang w:val="es-EC"/>
      </w:rPr>
      <w:t>Av. Quitumbe Ñan y Av. Amaru Ñan - Plataforma Gubernamental de Desarrollo Social (Quito – Ecuador)</w:t>
    </w:r>
  </w:p>
  <w:p>
    <w:pPr>
      <w:pStyle w:val="32"/>
      <w:jc w:val="center"/>
      <w:rPr>
        <w:lang w:val="es-EC"/>
      </w:rPr>
    </w:pPr>
    <w:r>
      <w:rPr>
        <w:lang w:val="es-EC"/>
      </w:rPr>
      <w:t>Teléfono</w:t>
    </w:r>
    <w:r>
      <w:t>: 593-2 381-4400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2"/>
        <w:rPr>
          <w:rFonts w:ascii="Calibri" w:hAnsi="Calibri" w:cs="Calibri"/>
          <w:sz w:val="18"/>
          <w:szCs w:val="18"/>
          <w:lang w:val="es-EC"/>
        </w:rPr>
      </w:pPr>
      <w:r>
        <w:rPr>
          <w:rFonts w:ascii="Calibri" w:hAnsi="Calibri" w:cs="Calibri"/>
          <w:sz w:val="18"/>
          <w:szCs w:val="18"/>
          <w:lang w:val="es-EC"/>
        </w:rPr>
        <w:footnoteRef/>
      </w:r>
      <w:r>
        <w:rPr>
          <w:rFonts w:ascii="Calibri" w:hAnsi="Calibri" w:cs="Calibri"/>
          <w:sz w:val="18"/>
          <w:szCs w:val="18"/>
          <w:lang w:val="es-EC"/>
        </w:rPr>
        <w:t xml:space="preserve"> Art. 201 del Código Orgánico General de Procesos, COGEP</w:t>
      </w:r>
    </w:p>
  </w:footnote>
  <w:footnote w:id="1">
    <w:p>
      <w:pPr>
        <w:pStyle w:val="12"/>
        <w:rPr>
          <w:lang w:val="es-EC"/>
        </w:rPr>
      </w:pPr>
      <w:r>
        <w:rPr>
          <w:rStyle w:val="43"/>
          <w:rFonts w:ascii="Calibri" w:hAnsi="Calibri" w:cs="Calibri"/>
          <w:sz w:val="18"/>
          <w:szCs w:val="18"/>
        </w:rPr>
        <w:footnoteRef/>
      </w:r>
      <w:r>
        <w:rPr>
          <w:rFonts w:ascii="Calibri" w:hAnsi="Calibri" w:cs="Calibri"/>
          <w:sz w:val="18"/>
          <w:szCs w:val="18"/>
          <w:lang w:val="es-EC"/>
        </w:rPr>
        <w:t xml:space="preserve"> Se deberá cumplir con lo estipulado en el art. No. 201 del Código General de Procesos “Autenticación de los documentos otorgados en territorio extranjero”</w:t>
      </w:r>
    </w:p>
  </w:footnote>
  <w:footnote w:id="2">
    <w:p>
      <w:pPr>
        <w:pStyle w:val="12"/>
        <w:rPr>
          <w:rFonts w:ascii="Calibri" w:hAnsi="Calibri"/>
          <w:i/>
          <w:sz w:val="18"/>
          <w:szCs w:val="18"/>
          <w:lang/>
        </w:rPr>
      </w:pPr>
      <w:r>
        <w:rPr>
          <w:rStyle w:val="43"/>
          <w:rFonts w:ascii="Calibri" w:hAnsi="Calibri" w:eastAsia="SimSun"/>
          <w:i/>
          <w:sz w:val="18"/>
          <w:szCs w:val="18"/>
        </w:rPr>
        <w:footnoteRef/>
      </w:r>
      <w:r>
        <w:rPr>
          <w:rFonts w:ascii="Calibri" w:hAnsi="Calibri"/>
          <w:i/>
          <w:sz w:val="18"/>
          <w:szCs w:val="18"/>
          <w:lang/>
        </w:rPr>
        <w:t xml:space="preserve"> A fin de facilitar al Comprador esta clasificación, el Oferente completará la versión correspondiente de la Listas de Precios incluidas en los Documentos de Licitación, entendiéndose que si el Oferente presenta una versión incorrecta de la Lista de Precios, su oferta no será rechazada sino simplemente reclasificada por el Comprador y colocada en el grupo de ofertas apropiado.</w:t>
      </w:r>
    </w:p>
  </w:footnote>
  <w:footnote w:id="3">
    <w:p>
      <w:pPr>
        <w:pStyle w:val="84"/>
        <w:ind w:left="180" w:hanging="180"/>
        <w:jc w:val="both"/>
        <w:rPr>
          <w:rFonts w:ascii="Calibri" w:hAnsi="Calibri"/>
          <w:sz w:val="18"/>
          <w:szCs w:val="18"/>
          <w:lang/>
        </w:rPr>
      </w:pPr>
      <w:r>
        <w:rPr>
          <w:rStyle w:val="43"/>
          <w:rFonts w:ascii="Calibri" w:hAnsi="Calibri"/>
          <w:sz w:val="18"/>
          <w:szCs w:val="18"/>
        </w:rPr>
        <w:footnoteRef/>
      </w:r>
      <w:r>
        <w:rPr>
          <w:rFonts w:ascii="Calibri" w:hAnsi="Calibri"/>
          <w:sz w:val="18"/>
          <w:szCs w:val="18"/>
          <w:lang/>
        </w:rPr>
        <w:t xml:space="preserve"> El monto de la Fianza debe ser </w:t>
      </w:r>
      <w:r>
        <w:rPr>
          <w:rFonts w:ascii="Calibri" w:hAnsi="Calibri"/>
          <w:iCs/>
          <w:sz w:val="18"/>
          <w:szCs w:val="18"/>
          <w:lang w:val="es-CO"/>
        </w:rPr>
        <w:t>expresado en la moneda del País del Comprador o en una moneda internacional de libre convertibilidad</w:t>
      </w:r>
    </w:p>
  </w:footnote>
  <w:footnote w:id="4">
    <w:p>
      <w:pPr>
        <w:pStyle w:val="12"/>
        <w:rPr>
          <w:rFonts w:ascii="Calibri" w:hAnsi="Calibri"/>
          <w:sz w:val="18"/>
          <w:szCs w:val="18"/>
          <w:lang/>
        </w:rPr>
      </w:pPr>
      <w:r>
        <w:rPr>
          <w:rStyle w:val="43"/>
          <w:rFonts w:ascii="Calibri" w:hAnsi="Calibri"/>
          <w:sz w:val="18"/>
          <w:szCs w:val="18"/>
        </w:rPr>
        <w:footnoteRef/>
      </w:r>
      <w:r>
        <w:rPr>
          <w:rFonts w:ascii="Calibri" w:hAnsi="Calibri"/>
          <w:sz w:val="18"/>
          <w:szCs w:val="18"/>
          <w:lang/>
        </w:rPr>
        <w:t xml:space="preserve">  En el sitio virtual del Banco (</w:t>
      </w:r>
      <w:r>
        <w:fldChar w:fldCharType="begin"/>
      </w:r>
      <w:r>
        <w:rPr>
          <w:lang w:val="es-ES"/>
        </w:rPr>
        <w:instrText xml:space="preserve"> HYPERLINK "http://www.iadb.org/integrity" </w:instrText>
      </w:r>
      <w:r>
        <w:fldChar w:fldCharType="separate"/>
      </w:r>
      <w:r>
        <w:rPr>
          <w:rStyle w:val="44"/>
          <w:rFonts w:ascii="Calibri" w:hAnsi="Calibri"/>
          <w:sz w:val="18"/>
          <w:szCs w:val="18"/>
          <w:lang/>
        </w:rPr>
        <w:t>www.iadb.org/integrity</w:t>
      </w:r>
      <w:r>
        <w:rPr>
          <w:rStyle w:val="44"/>
          <w:rFonts w:ascii="Calibri" w:hAnsi="Calibri"/>
          <w:sz w:val="18"/>
          <w:szCs w:val="18"/>
          <w:lang/>
        </w:rPr>
        <w:fldChar w:fldCharType="end"/>
      </w:r>
      <w:r>
        <w:rPr>
          <w:rFonts w:ascii="Calibri" w:hAnsi="Calibri"/>
          <w:sz w:val="18"/>
          <w:szCs w:val="18"/>
          <w:lang/>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5">
    <w:p>
      <w:pPr>
        <w:pStyle w:val="12"/>
        <w:rPr>
          <w:rFonts w:ascii="Calibri" w:hAnsi="Calibri"/>
          <w:sz w:val="18"/>
          <w:szCs w:val="18"/>
          <w:lang/>
        </w:rPr>
      </w:pPr>
      <w:r>
        <w:rPr>
          <w:rStyle w:val="43"/>
          <w:rFonts w:ascii="Calibri" w:hAnsi="Calibri"/>
          <w:sz w:val="18"/>
          <w:szCs w:val="18"/>
        </w:rPr>
        <w:footnoteRef/>
      </w:r>
      <w:r>
        <w:rPr>
          <w:rFonts w:ascii="Calibri" w:hAnsi="Calibri"/>
          <w:sz w:val="18"/>
          <w:szCs w:val="18"/>
          <w:lang/>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6">
    <w:p>
      <w:pPr>
        <w:pStyle w:val="12"/>
        <w:rPr>
          <w:rFonts w:ascii="Calibri" w:hAnsi="Calibri"/>
          <w:sz w:val="18"/>
          <w:szCs w:val="18"/>
          <w:lang/>
        </w:rPr>
      </w:pPr>
      <w:r>
        <w:rPr>
          <w:rStyle w:val="43"/>
          <w:rFonts w:ascii="Calibri" w:hAnsi="Calibri"/>
          <w:sz w:val="18"/>
          <w:szCs w:val="18"/>
        </w:rPr>
        <w:footnoteRef/>
      </w:r>
      <w:r>
        <w:rPr>
          <w:rFonts w:ascii="Calibri" w:hAnsi="Calibri"/>
          <w:sz w:val="18"/>
          <w:szCs w:val="18"/>
          <w:lang/>
        </w:rPr>
        <w:t xml:space="preserve">  En el sitio virtual del Banco (</w:t>
      </w:r>
      <w:r>
        <w:fldChar w:fldCharType="begin"/>
      </w:r>
      <w:r>
        <w:rPr>
          <w:lang w:val="es-ES"/>
        </w:rPr>
        <w:instrText xml:space="preserve"> HYPERLINK "http://www.iadb.org/integrity" </w:instrText>
      </w:r>
      <w:r>
        <w:fldChar w:fldCharType="separate"/>
      </w:r>
      <w:r>
        <w:rPr>
          <w:rStyle w:val="44"/>
          <w:rFonts w:ascii="Calibri" w:hAnsi="Calibri"/>
          <w:sz w:val="18"/>
          <w:szCs w:val="18"/>
          <w:lang/>
        </w:rPr>
        <w:t>www.iadb.org/integrity</w:t>
      </w:r>
      <w:r>
        <w:rPr>
          <w:rStyle w:val="44"/>
          <w:rFonts w:ascii="Calibri" w:hAnsi="Calibri"/>
          <w:sz w:val="18"/>
          <w:szCs w:val="18"/>
          <w:lang/>
        </w:rPr>
        <w:fldChar w:fldCharType="end"/>
      </w:r>
      <w:r>
        <w:rPr>
          <w:rFonts w:ascii="Calibri" w:hAnsi="Calibri"/>
          <w:sz w:val="18"/>
          <w:szCs w:val="18"/>
          <w:lang/>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7">
    <w:p>
      <w:pPr>
        <w:pStyle w:val="12"/>
        <w:rPr>
          <w:rFonts w:ascii="Calibri" w:hAnsi="Calibri"/>
          <w:sz w:val="18"/>
          <w:szCs w:val="18"/>
          <w:lang/>
        </w:rPr>
      </w:pPr>
      <w:r>
        <w:rPr>
          <w:rStyle w:val="43"/>
          <w:rFonts w:ascii="Calibri" w:hAnsi="Calibri"/>
          <w:sz w:val="18"/>
          <w:szCs w:val="18"/>
        </w:rPr>
        <w:footnoteRef/>
      </w:r>
      <w:r>
        <w:rPr>
          <w:rFonts w:ascii="Calibri" w:hAnsi="Calibri"/>
          <w:sz w:val="18"/>
          <w:szCs w:val="18"/>
          <w:lang/>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8">
    <w:p>
      <w:pPr>
        <w:pStyle w:val="12"/>
        <w:ind w:left="180" w:hanging="180"/>
        <w:rPr>
          <w:rFonts w:ascii="Calibri" w:hAnsi="Calibri"/>
          <w:i/>
          <w:color w:val="000000"/>
          <w:sz w:val="18"/>
          <w:szCs w:val="18"/>
          <w:lang/>
        </w:rPr>
      </w:pPr>
      <w:r>
        <w:rPr>
          <w:rStyle w:val="43"/>
          <w:rFonts w:ascii="Calibri" w:hAnsi="Calibri"/>
          <w:i/>
          <w:color w:val="000000"/>
          <w:sz w:val="18"/>
          <w:szCs w:val="18"/>
          <w:lang/>
        </w:rPr>
        <w:t>1</w:t>
      </w:r>
      <w:r>
        <w:rPr>
          <w:rFonts w:ascii="Calibri" w:hAnsi="Calibri"/>
          <w:i/>
          <w:color w:val="000000"/>
          <w:sz w:val="18"/>
          <w:szCs w:val="18"/>
          <w:lang/>
        </w:rPr>
        <w:t>El Garante incluirá el monto que represente el porcentaje del Monto del Contrato Aceptado establecido en la carta de Aceptación, y denominado en la(s) moneda(s) del Contrato o en una moneda de libre convertibilidad aceptable al Beneficiario.</w:t>
      </w:r>
    </w:p>
  </w:footnote>
  <w:footnote w:id="9">
    <w:p>
      <w:pPr>
        <w:pStyle w:val="12"/>
        <w:ind w:left="180" w:hanging="180"/>
        <w:rPr>
          <w:rFonts w:ascii="Calibri" w:hAnsi="Calibri"/>
          <w:i/>
          <w:iCs/>
          <w:sz w:val="18"/>
          <w:szCs w:val="18"/>
          <w:lang/>
        </w:rPr>
      </w:pPr>
      <w:r>
        <w:rPr>
          <w:rStyle w:val="43"/>
          <w:rFonts w:ascii="Calibri" w:hAnsi="Calibri"/>
          <w:i/>
          <w:color w:val="000000"/>
          <w:sz w:val="18"/>
          <w:szCs w:val="18"/>
          <w:lang/>
        </w:rPr>
        <w:t>2</w:t>
      </w:r>
      <w:r>
        <w:rPr>
          <w:rFonts w:ascii="Calibri" w:hAnsi="Calibri"/>
          <w:i/>
          <w:color w:val="000000"/>
          <w:sz w:val="18"/>
          <w:szCs w:val="18"/>
          <w:lang/>
        </w:rPr>
        <w:t>Indicar la fecha de veintiocho días posteriores a la fecha esperada de terminación de acuerdo con la cláusula CGC 11.9</w:t>
      </w:r>
      <w:r>
        <w:rPr>
          <w:rFonts w:ascii="Calibri" w:hAnsi="Calibri"/>
          <w:i/>
          <w:iCs/>
          <w:color w:val="000000"/>
          <w:sz w:val="18"/>
          <w:szCs w:val="18"/>
          <w:lang/>
        </w:rPr>
        <w:t xml:space="preserve">. El Comprador deberá tener en cuenta que en el evento en que se otorgue una extensión de esta fecha de terminación del Contrato, el Comprador necesitará solicitar al Garante una extensión de esta garantía.  Dicha solicitud deberá ser por escrito y deberá darse con anterioridad a la fecha de vencimiento establecido en la garantía. </w:t>
      </w:r>
      <w:r>
        <w:rPr>
          <w:rFonts w:ascii="Calibri" w:hAnsi="Calibri"/>
          <w:i/>
          <w:iCs/>
          <w:color w:val="000000"/>
          <w:sz w:val="18"/>
          <w:szCs w:val="18"/>
          <w:lang w:val="es-ES"/>
        </w:rPr>
        <w:t>En la preparación de esta garantía, el Comprador podrá considerar incluir el siguiente texto al formulario, al final del penúltimo párrafo: “El Garante se compromete a otorgar una extensión de esta garantía por un periodo que no excederá [seis meses] [un año], como respuesta a una solicitud por escrito del Beneficiario, la cual deberá ser presentada al Garante con anterioridad al vencimiento de  la garantía</w:t>
      </w:r>
      <w:r>
        <w:rPr>
          <w:rFonts w:ascii="Calibri" w:hAnsi="Calibri"/>
          <w:i/>
          <w:iCs/>
          <w:color w:val="000000"/>
          <w:sz w:val="18"/>
          <w:szCs w:val="18"/>
          <w:lang/>
        </w:rPr>
        <w:t>.”</w:t>
      </w:r>
    </w:p>
  </w:footnote>
  <w:footnote w:id="10">
    <w:p>
      <w:pPr>
        <w:pStyle w:val="12"/>
        <w:ind w:left="180" w:hanging="180"/>
        <w:rPr>
          <w:rFonts w:ascii="Calibri" w:hAnsi="Calibri"/>
          <w:i/>
          <w:sz w:val="18"/>
          <w:szCs w:val="18"/>
          <w:lang/>
        </w:rPr>
      </w:pPr>
      <w:r>
        <w:rPr>
          <w:rStyle w:val="43"/>
          <w:rFonts w:ascii="Calibri" w:hAnsi="Calibri"/>
          <w:i/>
          <w:sz w:val="18"/>
          <w:szCs w:val="18"/>
          <w:lang/>
        </w:rPr>
        <w:t>1</w:t>
      </w:r>
      <w:r>
        <w:rPr>
          <w:lang/>
        </w:rPr>
        <w:t xml:space="preserve"> </w:t>
      </w:r>
      <w:r>
        <w:rPr>
          <w:rFonts w:ascii="Calibri" w:hAnsi="Calibri" w:cs="Calibri"/>
          <w:lang/>
        </w:rPr>
        <w:t>El Banco deberá insertar la suma establecida en las CEC y denominada como se establece en las CEC, ya sea en la(s) moneda(s) denominada(s) en el Contrato o en una moneda de libre convertibilidad aceptable al Comprador</w:t>
      </w:r>
      <w:r>
        <w:rPr>
          <w:lan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val="es-ES"/>
      </w:rPr>
    </w:pPr>
    <w:r>
      <w:rPr>
        <w:sz w:val="18"/>
        <w:szCs w:val="18"/>
        <w:lang w:val="es-ES"/>
      </w:rPr>
      <w:t>Introducción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sz w:val="18"/>
        <w:szCs w:val="18"/>
        <w:lang/>
      </w:rPr>
      <w:t>Parte III. Sección IX. Condiciones Especiales del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sz w:val="18"/>
        <w:szCs w:val="18"/>
        <w:lang/>
      </w:rPr>
      <w:t xml:space="preserve">Parte III. Sección X. Formularios del Contrato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sz w:val="18"/>
        <w:szCs w:val="18"/>
        <w:lang/>
      </w:rPr>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lang w:val="es-ES" w:eastAsia="es-ES"/>
      </w:rPr>
      <w:drawing>
        <wp:inline distT="0" distB="0" distL="0" distR="0">
          <wp:extent cx="2466975" cy="854075"/>
          <wp:effectExtent l="19050" t="0" r="9525"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1"/>
                  <pic:cNvPicPr>
                    <a:picLocks noChangeAspect="1" noChangeArrowheads="1"/>
                  </pic:cNvPicPr>
                </pic:nvPicPr>
                <pic:blipFill>
                  <a:blip r:embed="rId1"/>
                  <a:srcRect/>
                  <a:stretch>
                    <a:fillRect/>
                  </a:stretch>
                </pic:blipFill>
                <pic:spPr>
                  <a:xfrm>
                    <a:off x="0" y="0"/>
                    <a:ext cx="2466975" cy="8540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lang w:val="es-ES" w:eastAsia="es-ES"/>
      </w:rPr>
      <w:drawing>
        <wp:anchor distT="0" distB="0" distL="114300" distR="114300" simplePos="0" relativeHeight="251656192" behindDoc="1" locked="0" layoutInCell="1" allowOverlap="1">
          <wp:simplePos x="0" y="0"/>
          <wp:positionH relativeFrom="column">
            <wp:posOffset>-247650</wp:posOffset>
          </wp:positionH>
          <wp:positionV relativeFrom="paragraph">
            <wp:posOffset>-257175</wp:posOffset>
          </wp:positionV>
          <wp:extent cx="1466850" cy="645160"/>
          <wp:effectExtent l="19050" t="0" r="0" b="0"/>
          <wp:wrapNone/>
          <wp:docPr id="5" name="Picture 1"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LOGO MSP"/>
                  <pic:cNvPicPr>
                    <a:picLocks noChangeAspect="1" noChangeArrowheads="1"/>
                  </pic:cNvPicPr>
                </pic:nvPicPr>
                <pic:blipFill>
                  <a:blip r:embed="rId1"/>
                  <a:srcRect r="69348" b="87053"/>
                  <a:stretch>
                    <a:fillRect/>
                  </a:stretch>
                </pic:blipFill>
                <pic:spPr>
                  <a:xfrm>
                    <a:off x="0" y="0"/>
                    <a:ext cx="1466850" cy="645160"/>
                  </a:xfrm>
                  <a:prstGeom prst="rect">
                    <a:avLst/>
                  </a:prstGeom>
                  <a:noFill/>
                  <a:ln w="9525">
                    <a:noFill/>
                    <a:miter lim="800000"/>
                    <a:headEnd/>
                    <a:tailEnd/>
                  </a:ln>
                </pic:spPr>
              </pic:pic>
            </a:graphicData>
          </a:graphic>
        </wp:anchor>
      </w:drawing>
    </w:r>
    <w:r>
      <w:rPr>
        <w:sz w:val="18"/>
        <w:szCs w:val="18"/>
        <w:lang/>
      </w:rPr>
      <w:t>Parte I. Sección I. Instrucciones a los Oferentes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sz w:val="18"/>
        <w:szCs w:val="18"/>
        <w:lang w:val="es-ES" w:eastAsia="es-ES"/>
      </w:rPr>
      <w:drawing>
        <wp:anchor distT="0" distB="0" distL="114300" distR="114300" simplePos="0" relativeHeight="251657216" behindDoc="1" locked="0" layoutInCell="1" allowOverlap="1">
          <wp:simplePos x="0" y="0"/>
          <wp:positionH relativeFrom="column">
            <wp:posOffset>-95250</wp:posOffset>
          </wp:positionH>
          <wp:positionV relativeFrom="paragraph">
            <wp:posOffset>-224155</wp:posOffset>
          </wp:positionV>
          <wp:extent cx="1466850" cy="645160"/>
          <wp:effectExtent l="19050" t="0" r="0" b="0"/>
          <wp:wrapNone/>
          <wp:docPr id="4" name="Picture 2"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GO MSP"/>
                  <pic:cNvPicPr>
                    <a:picLocks noChangeAspect="1" noChangeArrowheads="1"/>
                  </pic:cNvPicPr>
                </pic:nvPicPr>
                <pic:blipFill>
                  <a:blip r:embed="rId1"/>
                  <a:srcRect r="69348" b="87053"/>
                  <a:stretch>
                    <a:fillRect/>
                  </a:stretch>
                </pic:blipFill>
                <pic:spPr>
                  <a:xfrm>
                    <a:off x="0" y="0"/>
                    <a:ext cx="1466850" cy="645160"/>
                  </a:xfrm>
                  <a:prstGeom prst="rect">
                    <a:avLst/>
                  </a:prstGeom>
                  <a:noFill/>
                  <a:ln w="9525">
                    <a:noFill/>
                    <a:miter lim="800000"/>
                    <a:headEnd/>
                    <a:tailEnd/>
                  </a:ln>
                </pic:spPr>
              </pic:pic>
            </a:graphicData>
          </a:graphic>
        </wp:anchor>
      </w:drawing>
    </w:r>
    <w:r>
      <w:rPr>
        <w:sz w:val="18"/>
        <w:szCs w:val="18"/>
        <w:lang/>
      </w:rPr>
      <w:t>Parte I. 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sz w:val="18"/>
        <w:szCs w:val="18"/>
        <w:lang w:val="es-ES" w:eastAsia="es-ES"/>
      </w:rPr>
      <w:drawing>
        <wp:anchor distT="0" distB="0" distL="114300" distR="114300" simplePos="0" relativeHeight="251658240" behindDoc="1" locked="0" layoutInCell="1" allowOverlap="1">
          <wp:simplePos x="0" y="0"/>
          <wp:positionH relativeFrom="column">
            <wp:posOffset>115570</wp:posOffset>
          </wp:positionH>
          <wp:positionV relativeFrom="paragraph">
            <wp:posOffset>-218440</wp:posOffset>
          </wp:positionV>
          <wp:extent cx="1466850" cy="645160"/>
          <wp:effectExtent l="19050" t="0" r="0" b="0"/>
          <wp:wrapNone/>
          <wp:docPr id="3" name="Picture 3"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MSP"/>
                  <pic:cNvPicPr>
                    <a:picLocks noChangeAspect="1" noChangeArrowheads="1"/>
                  </pic:cNvPicPr>
                </pic:nvPicPr>
                <pic:blipFill>
                  <a:blip r:embed="rId1"/>
                  <a:srcRect r="69348" b="87053"/>
                  <a:stretch>
                    <a:fillRect/>
                  </a:stretch>
                </pic:blipFill>
                <pic:spPr>
                  <a:xfrm>
                    <a:off x="0" y="0"/>
                    <a:ext cx="1466850" cy="645160"/>
                  </a:xfrm>
                  <a:prstGeom prst="rect">
                    <a:avLst/>
                  </a:prstGeom>
                  <a:noFill/>
                  <a:ln w="9525">
                    <a:noFill/>
                    <a:miter lim="800000"/>
                    <a:headEnd/>
                    <a:tailEnd/>
                  </a:ln>
                </pic:spPr>
              </pic:pic>
            </a:graphicData>
          </a:graphic>
        </wp:anchor>
      </w:drawing>
    </w:r>
    <w:r>
      <w:rPr>
        <w:sz w:val="18"/>
        <w:szCs w:val="18"/>
        <w:lang/>
      </w:rPr>
      <w:t>Parte I. Sección IV. Formularios de la Oferta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sz w:val="18"/>
        <w:szCs w:val="18"/>
        <w:lang w:val="es-ES" w:eastAsia="es-ES"/>
      </w:rPr>
      <w:drawing>
        <wp:anchor distT="0" distB="0" distL="114300" distR="114300" simplePos="0" relativeHeight="251658240" behindDoc="1" locked="0" layoutInCell="1" allowOverlap="1">
          <wp:simplePos x="0" y="0"/>
          <wp:positionH relativeFrom="column">
            <wp:posOffset>57150</wp:posOffset>
          </wp:positionH>
          <wp:positionV relativeFrom="paragraph">
            <wp:posOffset>-225425</wp:posOffset>
          </wp:positionV>
          <wp:extent cx="1466850" cy="645160"/>
          <wp:effectExtent l="19050" t="0" r="0" b="0"/>
          <wp:wrapNone/>
          <wp:docPr id="2" name="Picture 4"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LOGO MSP"/>
                  <pic:cNvPicPr>
                    <a:picLocks noChangeAspect="1" noChangeArrowheads="1"/>
                  </pic:cNvPicPr>
                </pic:nvPicPr>
                <pic:blipFill>
                  <a:blip r:embed="rId1"/>
                  <a:srcRect r="69348" b="87053"/>
                  <a:stretch>
                    <a:fillRect/>
                  </a:stretch>
                </pic:blipFill>
                <pic:spPr>
                  <a:xfrm>
                    <a:off x="0" y="0"/>
                    <a:ext cx="1466850" cy="645160"/>
                  </a:xfrm>
                  <a:prstGeom prst="rect">
                    <a:avLst/>
                  </a:prstGeom>
                  <a:noFill/>
                  <a:ln w="9525">
                    <a:noFill/>
                    <a:miter lim="800000"/>
                    <a:headEnd/>
                    <a:tailEnd/>
                  </a:ln>
                </pic:spPr>
              </pic:pic>
            </a:graphicData>
          </a:graphic>
        </wp:anchor>
      </w:drawing>
    </w:r>
    <w:r>
      <w:rPr>
        <w:sz w:val="18"/>
        <w:szCs w:val="18"/>
        <w:lang w:val="es-CO"/>
      </w:rPr>
      <w:t>Parte</w:t>
    </w:r>
    <w:r>
      <w:rPr>
        <w:sz w:val="18"/>
        <w:szCs w:val="18"/>
        <w:lang/>
      </w:rPr>
      <w:t xml:space="preserve"> II. </w:t>
    </w:r>
    <w:r>
      <w:rPr>
        <w:sz w:val="18"/>
        <w:szCs w:val="18"/>
        <w:lang w:val="es-CO"/>
      </w:rPr>
      <w:t>Sección</w:t>
    </w:r>
    <w:r>
      <w:rPr>
        <w:sz w:val="18"/>
        <w:szCs w:val="18"/>
        <w:lang/>
      </w:rPr>
      <w:t xml:space="preserve"> V. </w:t>
    </w:r>
    <w:r>
      <w:rPr>
        <w:sz w:val="18"/>
        <w:szCs w:val="18"/>
        <w:lang w:val="es-CO"/>
      </w:rPr>
      <w:t>Países Elegibles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sz w:val="18"/>
        <w:szCs w:val="18"/>
        <w:lang w:val="es-ES" w:eastAsia="es-ES"/>
      </w:rPr>
      <w:drawing>
        <wp:anchor distT="0" distB="0" distL="114300" distR="114300" simplePos="0" relativeHeight="251659264" behindDoc="1" locked="0" layoutInCell="1" allowOverlap="1">
          <wp:simplePos x="0" y="0"/>
          <wp:positionH relativeFrom="column">
            <wp:posOffset>57150</wp:posOffset>
          </wp:positionH>
          <wp:positionV relativeFrom="paragraph">
            <wp:posOffset>-240030</wp:posOffset>
          </wp:positionV>
          <wp:extent cx="1466850" cy="645160"/>
          <wp:effectExtent l="19050" t="0" r="0" b="0"/>
          <wp:wrapNone/>
          <wp:docPr id="1" name="Picture 5"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LOGO MSP"/>
                  <pic:cNvPicPr>
                    <a:picLocks noChangeAspect="1" noChangeArrowheads="1"/>
                  </pic:cNvPicPr>
                </pic:nvPicPr>
                <pic:blipFill>
                  <a:blip r:embed="rId1"/>
                  <a:srcRect r="69348" b="87053"/>
                  <a:stretch>
                    <a:fillRect/>
                  </a:stretch>
                </pic:blipFill>
                <pic:spPr>
                  <a:xfrm>
                    <a:off x="0" y="0"/>
                    <a:ext cx="1466850" cy="645160"/>
                  </a:xfrm>
                  <a:prstGeom prst="rect">
                    <a:avLst/>
                  </a:prstGeom>
                  <a:noFill/>
                  <a:ln w="9525">
                    <a:noFill/>
                    <a:miter lim="800000"/>
                    <a:headEnd/>
                    <a:tailEnd/>
                  </a:ln>
                </pic:spPr>
              </pic:pic>
            </a:graphicData>
          </a:graphic>
        </wp:anchor>
      </w:drawing>
    </w:r>
    <w:r>
      <w:rPr>
        <w:sz w:val="18"/>
        <w:szCs w:val="18"/>
        <w:lang/>
      </w:rPr>
      <w:t xml:space="preserve">Parte II. </w:t>
    </w:r>
    <w:r>
      <w:rPr>
        <w:sz w:val="18"/>
        <w:szCs w:val="18"/>
        <w:lang w:val="es-CO"/>
      </w:rPr>
      <w:t>Sección</w:t>
    </w:r>
    <w:r>
      <w:rPr>
        <w:sz w:val="18"/>
        <w:szCs w:val="18"/>
        <w:lang/>
      </w:rPr>
      <w:t xml:space="preserve"> VI. Fraude y Corrupción y Prácticas Prohibidas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sz w:val="18"/>
        <w:szCs w:val="18"/>
        <w:lang/>
      </w:rPr>
      <w:t>Parte II. Sección VII. Requisitos de Bienes y Servicios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sz w:val="18"/>
        <w:szCs w:val="18"/>
        <w:lang/>
      </w:rPr>
    </w:pPr>
    <w:r>
      <w:rPr>
        <w:sz w:val="18"/>
        <w:szCs w:val="18"/>
        <w:lang/>
      </w:rPr>
      <w:t>Parte III. Sección VIII. Condiciones Generales del Contrato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3D"/>
    <w:multiLevelType w:val="multilevel"/>
    <w:tmpl w:val="00A5663D"/>
    <w:lvl w:ilvl="0" w:tentative="0">
      <w:start w:val="1"/>
      <w:numFmt w:val="decimal"/>
      <w:lvlText w:val="36.%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FC741A"/>
    <w:multiLevelType w:val="multilevel"/>
    <w:tmpl w:val="00FC741A"/>
    <w:lvl w:ilvl="0" w:tentative="0">
      <w:start w:val="1"/>
      <w:numFmt w:val="decimal"/>
      <w:lvlText w:val="5.%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14603B0"/>
    <w:multiLevelType w:val="multilevel"/>
    <w:tmpl w:val="014603B0"/>
    <w:lvl w:ilvl="0" w:tentative="0">
      <w:start w:val="1"/>
      <w:numFmt w:val="decimal"/>
      <w:lvlText w:val="35.%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26C0932"/>
    <w:multiLevelType w:val="multilevel"/>
    <w:tmpl w:val="026C0932"/>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3713060"/>
    <w:multiLevelType w:val="multilevel"/>
    <w:tmpl w:val="037130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52A5EF7"/>
    <w:multiLevelType w:val="multilevel"/>
    <w:tmpl w:val="052A5EF7"/>
    <w:lvl w:ilvl="0" w:tentative="0">
      <w:start w:val="1"/>
      <w:numFmt w:val="decimal"/>
      <w:lvlText w:val="29.%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5460159"/>
    <w:multiLevelType w:val="multilevel"/>
    <w:tmpl w:val="05460159"/>
    <w:lvl w:ilvl="0" w:tentative="0">
      <w:start w:val="1"/>
      <w:numFmt w:val="decimal"/>
      <w:lvlText w:val="15.%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54A07B6"/>
    <w:multiLevelType w:val="multilevel"/>
    <w:tmpl w:val="054A07B6"/>
    <w:lvl w:ilvl="0" w:tentative="0">
      <w:start w:val="1"/>
      <w:numFmt w:val="lowerRoman"/>
      <w:lvlText w:val="(%1)"/>
      <w:lvlJc w:val="left"/>
      <w:pPr>
        <w:ind w:left="1872" w:hanging="360"/>
      </w:pPr>
      <w:rPr>
        <w:rFonts w:hint="default"/>
      </w:rPr>
    </w:lvl>
    <w:lvl w:ilvl="1" w:tentative="0">
      <w:start w:val="1"/>
      <w:numFmt w:val="lowerLetter"/>
      <w:lvlText w:val="%2."/>
      <w:lvlJc w:val="left"/>
      <w:pPr>
        <w:ind w:left="2592" w:hanging="360"/>
      </w:pPr>
    </w:lvl>
    <w:lvl w:ilvl="2" w:tentative="0">
      <w:start w:val="1"/>
      <w:numFmt w:val="lowerRoman"/>
      <w:lvlText w:val="%3."/>
      <w:lvlJc w:val="right"/>
      <w:pPr>
        <w:ind w:left="3312" w:hanging="180"/>
      </w:pPr>
    </w:lvl>
    <w:lvl w:ilvl="3" w:tentative="0">
      <w:start w:val="1"/>
      <w:numFmt w:val="decimal"/>
      <w:lvlText w:val="%4."/>
      <w:lvlJc w:val="left"/>
      <w:pPr>
        <w:ind w:left="4032" w:hanging="360"/>
      </w:pPr>
    </w:lvl>
    <w:lvl w:ilvl="4" w:tentative="0">
      <w:start w:val="1"/>
      <w:numFmt w:val="lowerLetter"/>
      <w:lvlText w:val="%5."/>
      <w:lvlJc w:val="left"/>
      <w:pPr>
        <w:ind w:left="4752" w:hanging="360"/>
      </w:pPr>
    </w:lvl>
    <w:lvl w:ilvl="5" w:tentative="0">
      <w:start w:val="1"/>
      <w:numFmt w:val="lowerRoman"/>
      <w:lvlText w:val="%6."/>
      <w:lvlJc w:val="right"/>
      <w:pPr>
        <w:ind w:left="5472" w:hanging="180"/>
      </w:pPr>
    </w:lvl>
    <w:lvl w:ilvl="6" w:tentative="0">
      <w:start w:val="1"/>
      <w:numFmt w:val="decimal"/>
      <w:lvlText w:val="%7."/>
      <w:lvlJc w:val="left"/>
      <w:pPr>
        <w:ind w:left="6192" w:hanging="360"/>
      </w:pPr>
    </w:lvl>
    <w:lvl w:ilvl="7" w:tentative="0">
      <w:start w:val="1"/>
      <w:numFmt w:val="lowerLetter"/>
      <w:lvlText w:val="%8."/>
      <w:lvlJc w:val="left"/>
      <w:pPr>
        <w:ind w:left="6912" w:hanging="360"/>
      </w:pPr>
    </w:lvl>
    <w:lvl w:ilvl="8" w:tentative="0">
      <w:start w:val="1"/>
      <w:numFmt w:val="lowerRoman"/>
      <w:lvlText w:val="%9."/>
      <w:lvlJc w:val="right"/>
      <w:pPr>
        <w:ind w:left="7632" w:hanging="180"/>
      </w:pPr>
    </w:lvl>
  </w:abstractNum>
  <w:abstractNum w:abstractNumId="8">
    <w:nsid w:val="05A6648A"/>
    <w:multiLevelType w:val="multilevel"/>
    <w:tmpl w:val="05A6648A"/>
    <w:lvl w:ilvl="0" w:tentative="0">
      <w:start w:val="1"/>
      <w:numFmt w:val="lowerLetter"/>
      <w:lvlText w:val="(%1)"/>
      <w:lvlJc w:val="left"/>
      <w:pPr>
        <w:ind w:left="1800" w:hanging="360"/>
      </w:pPr>
      <w:rPr>
        <w:rFonts w:hint="default"/>
        <w:b w:val="0"/>
        <w:color w:val="auto"/>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9">
    <w:nsid w:val="0606543D"/>
    <w:multiLevelType w:val="multilevel"/>
    <w:tmpl w:val="0606543D"/>
    <w:lvl w:ilvl="0" w:tentative="0">
      <w:start w:val="9"/>
      <w:numFmt w:val="decimal"/>
      <w:lvlText w:val="%1."/>
      <w:lvlJc w:val="left"/>
      <w:pPr>
        <w:ind w:left="1065" w:hanging="360"/>
      </w:pPr>
      <w:rPr>
        <w:rFonts w:hint="default"/>
      </w:rPr>
    </w:lvl>
    <w:lvl w:ilvl="1" w:tentative="0">
      <w:start w:val="1"/>
      <w:numFmt w:val="lowerLetter"/>
      <w:lvlText w:val="%2."/>
      <w:lvlJc w:val="left"/>
      <w:pPr>
        <w:ind w:left="1785" w:hanging="360"/>
      </w:pPr>
    </w:lvl>
    <w:lvl w:ilvl="2" w:tentative="0">
      <w:start w:val="1"/>
      <w:numFmt w:val="lowerRoman"/>
      <w:lvlText w:val="%3."/>
      <w:lvlJc w:val="right"/>
      <w:pPr>
        <w:ind w:left="2505" w:hanging="180"/>
      </w:pPr>
    </w:lvl>
    <w:lvl w:ilvl="3" w:tentative="0">
      <w:start w:val="1"/>
      <w:numFmt w:val="decimal"/>
      <w:lvlText w:val="%4."/>
      <w:lvlJc w:val="left"/>
      <w:pPr>
        <w:ind w:left="3225" w:hanging="360"/>
      </w:pPr>
    </w:lvl>
    <w:lvl w:ilvl="4" w:tentative="0">
      <w:start w:val="1"/>
      <w:numFmt w:val="lowerLetter"/>
      <w:lvlText w:val="%5."/>
      <w:lvlJc w:val="left"/>
      <w:pPr>
        <w:ind w:left="3945" w:hanging="360"/>
      </w:pPr>
    </w:lvl>
    <w:lvl w:ilvl="5" w:tentative="0">
      <w:start w:val="1"/>
      <w:numFmt w:val="lowerRoman"/>
      <w:lvlText w:val="%6."/>
      <w:lvlJc w:val="right"/>
      <w:pPr>
        <w:ind w:left="4665" w:hanging="180"/>
      </w:pPr>
    </w:lvl>
    <w:lvl w:ilvl="6" w:tentative="0">
      <w:start w:val="1"/>
      <w:numFmt w:val="decimal"/>
      <w:lvlText w:val="%7."/>
      <w:lvlJc w:val="left"/>
      <w:pPr>
        <w:ind w:left="5385" w:hanging="360"/>
      </w:pPr>
    </w:lvl>
    <w:lvl w:ilvl="7" w:tentative="0">
      <w:start w:val="1"/>
      <w:numFmt w:val="lowerLetter"/>
      <w:lvlText w:val="%8."/>
      <w:lvlJc w:val="left"/>
      <w:pPr>
        <w:ind w:left="6105" w:hanging="360"/>
      </w:pPr>
    </w:lvl>
    <w:lvl w:ilvl="8" w:tentative="0">
      <w:start w:val="1"/>
      <w:numFmt w:val="lowerRoman"/>
      <w:lvlText w:val="%9."/>
      <w:lvlJc w:val="right"/>
      <w:pPr>
        <w:ind w:left="6825" w:hanging="180"/>
      </w:pPr>
    </w:lvl>
  </w:abstractNum>
  <w:abstractNum w:abstractNumId="10">
    <w:nsid w:val="06190BAA"/>
    <w:multiLevelType w:val="multilevel"/>
    <w:tmpl w:val="06190BAA"/>
    <w:lvl w:ilvl="0" w:tentative="0">
      <w:start w:val="1"/>
      <w:numFmt w:val="lowerLetter"/>
      <w:lvlText w:val="(%1)"/>
      <w:lvlJc w:val="left"/>
      <w:pPr>
        <w:ind w:left="1800" w:hanging="360"/>
      </w:pPr>
      <w:rPr>
        <w:rFonts w:hint="default"/>
        <w:b w:val="0"/>
        <w:color w:val="auto"/>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11">
    <w:nsid w:val="070F7BE0"/>
    <w:multiLevelType w:val="multilevel"/>
    <w:tmpl w:val="070F7BE0"/>
    <w:lvl w:ilvl="0" w:tentative="0">
      <w:start w:val="1"/>
      <w:numFmt w:val="decimal"/>
      <w:lvlText w:val="13.%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7156E49"/>
    <w:multiLevelType w:val="multilevel"/>
    <w:tmpl w:val="07156E49"/>
    <w:lvl w:ilvl="0" w:tentative="0">
      <w:start w:val="1"/>
      <w:numFmt w:val="decimal"/>
      <w:lvlText w:val="2.%1"/>
      <w:lvlJc w:val="left"/>
      <w:pPr>
        <w:ind w:left="720" w:hanging="360"/>
      </w:pPr>
      <w:rPr>
        <w:rFonts w:hint="default"/>
        <w:b w:val="0"/>
        <w:i w:val="0"/>
        <w:color w:val="auto"/>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7AA36D3"/>
    <w:multiLevelType w:val="multilevel"/>
    <w:tmpl w:val="07AA36D3"/>
    <w:lvl w:ilvl="0" w:tentative="0">
      <w:start w:val="1"/>
      <w:numFmt w:val="decimal"/>
      <w:lvlText w:val="42.%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083A4876"/>
    <w:multiLevelType w:val="multilevel"/>
    <w:tmpl w:val="083A4876"/>
    <w:lvl w:ilvl="0" w:tentative="0">
      <w:start w:val="2"/>
      <w:numFmt w:val="lowerLetter"/>
      <w:lvlText w:val="b.%1."/>
      <w:lvlJc w:val="left"/>
      <w:pPr>
        <w:ind w:left="14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08DB7C63"/>
    <w:multiLevelType w:val="multilevel"/>
    <w:tmpl w:val="08DB7C63"/>
    <w:lvl w:ilvl="0" w:tentative="0">
      <w:start w:val="1"/>
      <w:numFmt w:val="decimal"/>
      <w:lvlText w:val="21.%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0986124E"/>
    <w:multiLevelType w:val="multilevel"/>
    <w:tmpl w:val="0986124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9AE1919"/>
    <w:multiLevelType w:val="multilevel"/>
    <w:tmpl w:val="09AE1919"/>
    <w:lvl w:ilvl="0" w:tentative="0">
      <w:start w:val="1"/>
      <w:numFmt w:val="lowerRoman"/>
      <w:lvlText w:val="(%1)"/>
      <w:lvlJc w:val="left"/>
      <w:pPr>
        <w:ind w:left="1872" w:hanging="360"/>
      </w:pPr>
      <w:rPr>
        <w:rFonts w:hint="default"/>
      </w:rPr>
    </w:lvl>
    <w:lvl w:ilvl="1" w:tentative="0">
      <w:start w:val="1"/>
      <w:numFmt w:val="lowerLetter"/>
      <w:lvlText w:val="%2."/>
      <w:lvlJc w:val="left"/>
      <w:pPr>
        <w:ind w:left="2592" w:hanging="360"/>
      </w:pPr>
    </w:lvl>
    <w:lvl w:ilvl="2" w:tentative="0">
      <w:start w:val="1"/>
      <w:numFmt w:val="lowerRoman"/>
      <w:lvlText w:val="%3."/>
      <w:lvlJc w:val="right"/>
      <w:pPr>
        <w:ind w:left="3312" w:hanging="180"/>
      </w:pPr>
    </w:lvl>
    <w:lvl w:ilvl="3" w:tentative="0">
      <w:start w:val="1"/>
      <w:numFmt w:val="decimal"/>
      <w:lvlText w:val="%4."/>
      <w:lvlJc w:val="left"/>
      <w:pPr>
        <w:ind w:left="4032" w:hanging="360"/>
      </w:pPr>
    </w:lvl>
    <w:lvl w:ilvl="4" w:tentative="0">
      <w:start w:val="1"/>
      <w:numFmt w:val="lowerLetter"/>
      <w:lvlText w:val="%5."/>
      <w:lvlJc w:val="left"/>
      <w:pPr>
        <w:ind w:left="4752" w:hanging="360"/>
      </w:pPr>
    </w:lvl>
    <w:lvl w:ilvl="5" w:tentative="0">
      <w:start w:val="1"/>
      <w:numFmt w:val="lowerRoman"/>
      <w:lvlText w:val="%6."/>
      <w:lvlJc w:val="right"/>
      <w:pPr>
        <w:ind w:left="5472" w:hanging="180"/>
      </w:pPr>
    </w:lvl>
    <w:lvl w:ilvl="6" w:tentative="0">
      <w:start w:val="1"/>
      <w:numFmt w:val="decimal"/>
      <w:lvlText w:val="%7."/>
      <w:lvlJc w:val="left"/>
      <w:pPr>
        <w:ind w:left="6192" w:hanging="360"/>
      </w:pPr>
    </w:lvl>
    <w:lvl w:ilvl="7" w:tentative="0">
      <w:start w:val="1"/>
      <w:numFmt w:val="lowerLetter"/>
      <w:lvlText w:val="%8."/>
      <w:lvlJc w:val="left"/>
      <w:pPr>
        <w:ind w:left="6912" w:hanging="360"/>
      </w:pPr>
    </w:lvl>
    <w:lvl w:ilvl="8" w:tentative="0">
      <w:start w:val="1"/>
      <w:numFmt w:val="lowerRoman"/>
      <w:lvlText w:val="%9."/>
      <w:lvlJc w:val="right"/>
      <w:pPr>
        <w:ind w:left="7632" w:hanging="180"/>
      </w:pPr>
    </w:lvl>
  </w:abstractNum>
  <w:abstractNum w:abstractNumId="18">
    <w:nsid w:val="0A1A4303"/>
    <w:multiLevelType w:val="multilevel"/>
    <w:tmpl w:val="0A1A4303"/>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0A1A49EE"/>
    <w:multiLevelType w:val="multilevel"/>
    <w:tmpl w:val="0A1A49EE"/>
    <w:lvl w:ilvl="0" w:tentative="0">
      <w:start w:val="1"/>
      <w:numFmt w:val="lowerRoman"/>
      <w:lvlText w:val="(%1)"/>
      <w:lvlJc w:val="left"/>
      <w:pPr>
        <w:ind w:left="1872" w:hanging="360"/>
      </w:pPr>
      <w:rPr>
        <w:rFonts w:hint="default"/>
      </w:rPr>
    </w:lvl>
    <w:lvl w:ilvl="1" w:tentative="0">
      <w:start w:val="0"/>
      <w:numFmt w:val="bullet"/>
      <w:lvlText w:val="•"/>
      <w:lvlJc w:val="left"/>
      <w:pPr>
        <w:ind w:left="2952" w:hanging="720"/>
      </w:pPr>
      <w:rPr>
        <w:rFonts w:hint="default" w:ascii="Calibri" w:hAnsi="Calibri" w:eastAsia="Calibri" w:cs="Calibri"/>
      </w:rPr>
    </w:lvl>
    <w:lvl w:ilvl="2" w:tentative="0">
      <w:start w:val="1"/>
      <w:numFmt w:val="lowerRoman"/>
      <w:lvlText w:val="%3."/>
      <w:lvlJc w:val="right"/>
      <w:pPr>
        <w:ind w:left="3312" w:hanging="180"/>
      </w:pPr>
    </w:lvl>
    <w:lvl w:ilvl="3" w:tentative="0">
      <w:start w:val="1"/>
      <w:numFmt w:val="decimal"/>
      <w:lvlText w:val="%4."/>
      <w:lvlJc w:val="left"/>
      <w:pPr>
        <w:ind w:left="4032" w:hanging="360"/>
      </w:pPr>
    </w:lvl>
    <w:lvl w:ilvl="4" w:tentative="0">
      <w:start w:val="1"/>
      <w:numFmt w:val="lowerLetter"/>
      <w:lvlText w:val="%5."/>
      <w:lvlJc w:val="left"/>
      <w:pPr>
        <w:ind w:left="4752" w:hanging="360"/>
      </w:pPr>
    </w:lvl>
    <w:lvl w:ilvl="5" w:tentative="0">
      <w:start w:val="1"/>
      <w:numFmt w:val="lowerRoman"/>
      <w:lvlText w:val="%6."/>
      <w:lvlJc w:val="right"/>
      <w:pPr>
        <w:ind w:left="5472" w:hanging="180"/>
      </w:pPr>
    </w:lvl>
    <w:lvl w:ilvl="6" w:tentative="0">
      <w:start w:val="1"/>
      <w:numFmt w:val="decimal"/>
      <w:lvlText w:val="%7."/>
      <w:lvlJc w:val="left"/>
      <w:pPr>
        <w:ind w:left="6192" w:hanging="360"/>
      </w:pPr>
    </w:lvl>
    <w:lvl w:ilvl="7" w:tentative="0">
      <w:start w:val="1"/>
      <w:numFmt w:val="lowerLetter"/>
      <w:lvlText w:val="%8."/>
      <w:lvlJc w:val="left"/>
      <w:pPr>
        <w:ind w:left="6912" w:hanging="360"/>
      </w:pPr>
    </w:lvl>
    <w:lvl w:ilvl="8" w:tentative="0">
      <w:start w:val="1"/>
      <w:numFmt w:val="lowerRoman"/>
      <w:lvlText w:val="%9."/>
      <w:lvlJc w:val="right"/>
      <w:pPr>
        <w:ind w:left="7632" w:hanging="180"/>
      </w:pPr>
    </w:lvl>
  </w:abstractNum>
  <w:abstractNum w:abstractNumId="20">
    <w:nsid w:val="0AAC0A28"/>
    <w:multiLevelType w:val="multilevel"/>
    <w:tmpl w:val="0AAC0A28"/>
    <w:lvl w:ilvl="0" w:tentative="0">
      <w:start w:val="1"/>
      <w:numFmt w:val="decimal"/>
      <w:lvlText w:val="27.%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0BED2286"/>
    <w:multiLevelType w:val="multilevel"/>
    <w:tmpl w:val="0BED2286"/>
    <w:lvl w:ilvl="0" w:tentative="0">
      <w:start w:val="1"/>
      <w:numFmt w:val="decimal"/>
      <w:lvlText w:val="33.%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0C9552A9"/>
    <w:multiLevelType w:val="multilevel"/>
    <w:tmpl w:val="0C9552A9"/>
    <w:lvl w:ilvl="0" w:tentative="0">
      <w:start w:val="1"/>
      <w:numFmt w:val="lowerRoman"/>
      <w:lvlText w:val="(%1)"/>
      <w:lvlJc w:val="left"/>
      <w:pPr>
        <w:ind w:left="1872" w:hanging="360"/>
      </w:pPr>
      <w:rPr>
        <w:rFonts w:hint="default"/>
      </w:rPr>
    </w:lvl>
    <w:lvl w:ilvl="1" w:tentative="0">
      <w:start w:val="1"/>
      <w:numFmt w:val="lowerLetter"/>
      <w:lvlText w:val="%2."/>
      <w:lvlJc w:val="left"/>
      <w:pPr>
        <w:ind w:left="2592" w:hanging="360"/>
      </w:pPr>
    </w:lvl>
    <w:lvl w:ilvl="2" w:tentative="0">
      <w:start w:val="1"/>
      <w:numFmt w:val="lowerRoman"/>
      <w:lvlText w:val="%3."/>
      <w:lvlJc w:val="right"/>
      <w:pPr>
        <w:ind w:left="3312" w:hanging="180"/>
      </w:pPr>
    </w:lvl>
    <w:lvl w:ilvl="3" w:tentative="0">
      <w:start w:val="1"/>
      <w:numFmt w:val="decimal"/>
      <w:lvlText w:val="%4."/>
      <w:lvlJc w:val="left"/>
      <w:pPr>
        <w:ind w:left="4032" w:hanging="360"/>
      </w:pPr>
    </w:lvl>
    <w:lvl w:ilvl="4" w:tentative="0">
      <w:start w:val="1"/>
      <w:numFmt w:val="lowerLetter"/>
      <w:lvlText w:val="%5."/>
      <w:lvlJc w:val="left"/>
      <w:pPr>
        <w:ind w:left="4752" w:hanging="360"/>
      </w:pPr>
    </w:lvl>
    <w:lvl w:ilvl="5" w:tentative="0">
      <w:start w:val="1"/>
      <w:numFmt w:val="lowerRoman"/>
      <w:lvlText w:val="%6."/>
      <w:lvlJc w:val="right"/>
      <w:pPr>
        <w:ind w:left="5472" w:hanging="180"/>
      </w:pPr>
    </w:lvl>
    <w:lvl w:ilvl="6" w:tentative="0">
      <w:start w:val="1"/>
      <w:numFmt w:val="decimal"/>
      <w:lvlText w:val="%7."/>
      <w:lvlJc w:val="left"/>
      <w:pPr>
        <w:ind w:left="6192" w:hanging="360"/>
      </w:pPr>
    </w:lvl>
    <w:lvl w:ilvl="7" w:tentative="0">
      <w:start w:val="1"/>
      <w:numFmt w:val="lowerLetter"/>
      <w:lvlText w:val="%8."/>
      <w:lvlJc w:val="left"/>
      <w:pPr>
        <w:ind w:left="6912" w:hanging="360"/>
      </w:pPr>
    </w:lvl>
    <w:lvl w:ilvl="8" w:tentative="0">
      <w:start w:val="1"/>
      <w:numFmt w:val="lowerRoman"/>
      <w:lvlText w:val="%9."/>
      <w:lvlJc w:val="right"/>
      <w:pPr>
        <w:ind w:left="7632" w:hanging="180"/>
      </w:pPr>
    </w:lvl>
  </w:abstractNum>
  <w:abstractNum w:abstractNumId="23">
    <w:nsid w:val="0D651A51"/>
    <w:multiLevelType w:val="multilevel"/>
    <w:tmpl w:val="0D651A51"/>
    <w:lvl w:ilvl="0" w:tentative="0">
      <w:start w:val="1"/>
      <w:numFmt w:val="decimal"/>
      <w:lvlText w:val="32.%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0DAB7FC9"/>
    <w:multiLevelType w:val="multilevel"/>
    <w:tmpl w:val="0DAB7FC9"/>
    <w:lvl w:ilvl="0" w:tentative="0">
      <w:start w:val="1"/>
      <w:numFmt w:val="upperRoman"/>
      <w:pStyle w:val="104"/>
      <w:lvlText w:val="%1."/>
      <w:lvlJc w:val="center"/>
      <w:pPr>
        <w:tabs>
          <w:tab w:val="left" w:pos="648"/>
        </w:tabs>
        <w:ind w:left="0" w:firstLine="288"/>
      </w:pPr>
      <w:rPr>
        <w:b/>
        <w:i w:val="0"/>
      </w:rPr>
    </w:lvl>
    <w:lvl w:ilvl="1" w:tentative="0">
      <w:start w:val="1"/>
      <w:numFmt w:val="decimal"/>
      <w:pStyle w:val="105"/>
      <w:isLgl/>
      <w:lvlText w:val="%1.%2"/>
      <w:lvlJc w:val="left"/>
      <w:pPr>
        <w:tabs>
          <w:tab w:val="left" w:pos="720"/>
        </w:tabs>
        <w:ind w:left="720" w:hanging="720"/>
      </w:pPr>
    </w:lvl>
    <w:lvl w:ilvl="2" w:tentative="0">
      <w:start w:val="1"/>
      <w:numFmt w:val="lowerLetter"/>
      <w:pStyle w:val="107"/>
      <w:lvlText w:val="%3."/>
      <w:lvlJc w:val="left"/>
      <w:pPr>
        <w:tabs>
          <w:tab w:val="left" w:pos="7452"/>
        </w:tabs>
        <w:ind w:left="7452" w:hanging="432"/>
      </w:pPr>
    </w:lvl>
    <w:lvl w:ilvl="3" w:tentative="0">
      <w:start w:val="1"/>
      <w:numFmt w:val="lowerRoman"/>
      <w:pStyle w:val="108"/>
      <w:lvlText w:val="%4."/>
      <w:lvlJc w:val="right"/>
      <w:pPr>
        <w:tabs>
          <w:tab w:val="left" w:pos="1584"/>
        </w:tabs>
        <w:ind w:left="1584" w:hanging="288"/>
      </w:pPr>
    </w:lvl>
    <w:lvl w:ilvl="4" w:tentative="0">
      <w:start w:val="1"/>
      <w:numFmt w:val="none"/>
      <w:lvlText w:val=""/>
      <w:lvlJc w:val="left"/>
      <w:pPr>
        <w:tabs>
          <w:tab w:val="left" w:pos="3240"/>
        </w:tabs>
        <w:ind w:left="2880" w:firstLine="0"/>
      </w:pPr>
    </w:lvl>
    <w:lvl w:ilvl="5" w:tentative="0">
      <w:start w:val="1"/>
      <w:numFmt w:val="none"/>
      <w:lvlText w:val=""/>
      <w:lvlJc w:val="left"/>
      <w:pPr>
        <w:tabs>
          <w:tab w:val="left" w:pos="3960"/>
        </w:tabs>
        <w:ind w:left="3600" w:firstLine="0"/>
      </w:pPr>
    </w:lvl>
    <w:lvl w:ilvl="6" w:tentative="0">
      <w:start w:val="1"/>
      <w:numFmt w:val="none"/>
      <w:lvlText w:val=""/>
      <w:lvlJc w:val="left"/>
      <w:pPr>
        <w:tabs>
          <w:tab w:val="left" w:pos="4680"/>
        </w:tabs>
        <w:ind w:left="4320" w:firstLine="0"/>
      </w:pPr>
    </w:lvl>
    <w:lvl w:ilvl="7" w:tentative="0">
      <w:start w:val="1"/>
      <w:numFmt w:val="none"/>
      <w:lvlText w:val=""/>
      <w:lvlJc w:val="left"/>
      <w:pPr>
        <w:tabs>
          <w:tab w:val="left" w:pos="5400"/>
        </w:tabs>
        <w:ind w:left="5040" w:firstLine="0"/>
      </w:pPr>
    </w:lvl>
    <w:lvl w:ilvl="8" w:tentative="0">
      <w:start w:val="1"/>
      <w:numFmt w:val="none"/>
      <w:lvlText w:val=""/>
      <w:lvlJc w:val="left"/>
      <w:pPr>
        <w:tabs>
          <w:tab w:val="left" w:pos="6120"/>
        </w:tabs>
        <w:ind w:left="5760" w:firstLine="0"/>
      </w:pPr>
    </w:lvl>
  </w:abstractNum>
  <w:abstractNum w:abstractNumId="25">
    <w:nsid w:val="0DEA7E3F"/>
    <w:multiLevelType w:val="multilevel"/>
    <w:tmpl w:val="0DEA7E3F"/>
    <w:lvl w:ilvl="0" w:tentative="0">
      <w:start w:val="1"/>
      <w:numFmt w:val="decimal"/>
      <w:lvlText w:val="34.%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0EDD7094"/>
    <w:multiLevelType w:val="multilevel"/>
    <w:tmpl w:val="0EDD7094"/>
    <w:lvl w:ilvl="0" w:tentative="0">
      <w:start w:val="1"/>
      <w:numFmt w:val="decimal"/>
      <w:lvlText w:val="%1."/>
      <w:lvlJc w:val="left"/>
      <w:pPr>
        <w:ind w:left="720" w:hanging="360"/>
      </w:pPr>
      <w:rPr>
        <w:rFonts w:hint="default"/>
        <w:b w:val="0"/>
        <w:i w:val="0"/>
        <w:color w:val="auto"/>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0F0F6826"/>
    <w:multiLevelType w:val="multilevel"/>
    <w:tmpl w:val="0F0F6826"/>
    <w:lvl w:ilvl="0" w:tentative="0">
      <w:start w:val="1"/>
      <w:numFmt w:val="decimal"/>
      <w:lvlText w:val="4.%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11981649"/>
    <w:multiLevelType w:val="multilevel"/>
    <w:tmpl w:val="11981649"/>
    <w:lvl w:ilvl="0" w:tentative="0">
      <w:start w:val="1"/>
      <w:numFmt w:val="decimal"/>
      <w:lvlText w:val="1.%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12D070C8"/>
    <w:multiLevelType w:val="multilevel"/>
    <w:tmpl w:val="12D070C8"/>
    <w:lvl w:ilvl="0" w:tentative="0">
      <w:start w:val="1"/>
      <w:numFmt w:val="decimal"/>
      <w:lvlText w:val="13.%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14C45C8D"/>
    <w:multiLevelType w:val="multilevel"/>
    <w:tmpl w:val="14C45C8D"/>
    <w:lvl w:ilvl="0" w:tentative="0">
      <w:start w:val="1"/>
      <w:numFmt w:val="decimal"/>
      <w:lvlText w:val="10.%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174032CE"/>
    <w:multiLevelType w:val="multilevel"/>
    <w:tmpl w:val="174032CE"/>
    <w:lvl w:ilvl="0" w:tentative="0">
      <w:start w:val="1"/>
      <w:numFmt w:val="bullet"/>
      <w:lvlText w:val=""/>
      <w:lvlJc w:val="left"/>
      <w:pPr>
        <w:ind w:left="1364" w:hanging="360"/>
      </w:pPr>
      <w:rPr>
        <w:rFonts w:hint="default" w:ascii="Symbol" w:hAnsi="Symbol"/>
      </w:rPr>
    </w:lvl>
    <w:lvl w:ilvl="1" w:tentative="0">
      <w:start w:val="1"/>
      <w:numFmt w:val="bullet"/>
      <w:lvlText w:val="o"/>
      <w:lvlJc w:val="left"/>
      <w:pPr>
        <w:ind w:left="2084" w:hanging="360"/>
      </w:pPr>
      <w:rPr>
        <w:rFonts w:hint="default" w:ascii="Courier New" w:hAnsi="Courier New" w:cs="Courier New"/>
      </w:rPr>
    </w:lvl>
    <w:lvl w:ilvl="2" w:tentative="0">
      <w:start w:val="1"/>
      <w:numFmt w:val="bullet"/>
      <w:lvlText w:val=""/>
      <w:lvlJc w:val="left"/>
      <w:pPr>
        <w:ind w:left="2804" w:hanging="360"/>
      </w:pPr>
      <w:rPr>
        <w:rFonts w:hint="default" w:ascii="Wingdings" w:hAnsi="Wingdings"/>
      </w:rPr>
    </w:lvl>
    <w:lvl w:ilvl="3" w:tentative="0">
      <w:start w:val="1"/>
      <w:numFmt w:val="bullet"/>
      <w:lvlText w:val=""/>
      <w:lvlJc w:val="left"/>
      <w:pPr>
        <w:ind w:left="3524" w:hanging="360"/>
      </w:pPr>
      <w:rPr>
        <w:rFonts w:hint="default" w:ascii="Symbol" w:hAnsi="Symbol"/>
      </w:rPr>
    </w:lvl>
    <w:lvl w:ilvl="4" w:tentative="0">
      <w:start w:val="1"/>
      <w:numFmt w:val="bullet"/>
      <w:lvlText w:val="o"/>
      <w:lvlJc w:val="left"/>
      <w:pPr>
        <w:ind w:left="4244" w:hanging="360"/>
      </w:pPr>
      <w:rPr>
        <w:rFonts w:hint="default" w:ascii="Courier New" w:hAnsi="Courier New" w:cs="Courier New"/>
      </w:rPr>
    </w:lvl>
    <w:lvl w:ilvl="5" w:tentative="0">
      <w:start w:val="1"/>
      <w:numFmt w:val="bullet"/>
      <w:lvlText w:val=""/>
      <w:lvlJc w:val="left"/>
      <w:pPr>
        <w:ind w:left="4964" w:hanging="360"/>
      </w:pPr>
      <w:rPr>
        <w:rFonts w:hint="default" w:ascii="Wingdings" w:hAnsi="Wingdings"/>
      </w:rPr>
    </w:lvl>
    <w:lvl w:ilvl="6" w:tentative="0">
      <w:start w:val="1"/>
      <w:numFmt w:val="bullet"/>
      <w:lvlText w:val=""/>
      <w:lvlJc w:val="left"/>
      <w:pPr>
        <w:ind w:left="5684" w:hanging="360"/>
      </w:pPr>
      <w:rPr>
        <w:rFonts w:hint="default" w:ascii="Symbol" w:hAnsi="Symbol"/>
      </w:rPr>
    </w:lvl>
    <w:lvl w:ilvl="7" w:tentative="0">
      <w:start w:val="1"/>
      <w:numFmt w:val="bullet"/>
      <w:lvlText w:val="o"/>
      <w:lvlJc w:val="left"/>
      <w:pPr>
        <w:ind w:left="6404" w:hanging="360"/>
      </w:pPr>
      <w:rPr>
        <w:rFonts w:hint="default" w:ascii="Courier New" w:hAnsi="Courier New" w:cs="Courier New"/>
      </w:rPr>
    </w:lvl>
    <w:lvl w:ilvl="8" w:tentative="0">
      <w:start w:val="1"/>
      <w:numFmt w:val="bullet"/>
      <w:lvlText w:val=""/>
      <w:lvlJc w:val="left"/>
      <w:pPr>
        <w:ind w:left="7124" w:hanging="360"/>
      </w:pPr>
      <w:rPr>
        <w:rFonts w:hint="default" w:ascii="Wingdings" w:hAnsi="Wingdings"/>
      </w:rPr>
    </w:lvl>
  </w:abstractNum>
  <w:abstractNum w:abstractNumId="32">
    <w:nsid w:val="183F663A"/>
    <w:multiLevelType w:val="multilevel"/>
    <w:tmpl w:val="183F663A"/>
    <w:lvl w:ilvl="0" w:tentative="0">
      <w:start w:val="1"/>
      <w:numFmt w:val="decimal"/>
      <w:lvlText w:val="6.%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18675371"/>
    <w:multiLevelType w:val="multilevel"/>
    <w:tmpl w:val="18675371"/>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187E4F1C"/>
    <w:multiLevelType w:val="multilevel"/>
    <w:tmpl w:val="187E4F1C"/>
    <w:lvl w:ilvl="0" w:tentative="0">
      <w:start w:val="1"/>
      <w:numFmt w:val="decimal"/>
      <w:lvlText w:val="8.%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18EE1BD5"/>
    <w:multiLevelType w:val="multilevel"/>
    <w:tmpl w:val="18EE1BD5"/>
    <w:lvl w:ilvl="0" w:tentative="0">
      <w:start w:val="1"/>
      <w:numFmt w:val="lowerRoman"/>
      <w:lvlText w:val="(%1)"/>
      <w:lvlJc w:val="left"/>
      <w:pPr>
        <w:ind w:left="1872" w:hanging="360"/>
      </w:pPr>
      <w:rPr>
        <w:rFonts w:hint="default"/>
      </w:rPr>
    </w:lvl>
    <w:lvl w:ilvl="1" w:tentative="0">
      <w:start w:val="1"/>
      <w:numFmt w:val="lowerLetter"/>
      <w:lvlText w:val="%2."/>
      <w:lvlJc w:val="left"/>
      <w:pPr>
        <w:ind w:left="2592" w:hanging="360"/>
      </w:pPr>
    </w:lvl>
    <w:lvl w:ilvl="2" w:tentative="0">
      <w:start w:val="1"/>
      <w:numFmt w:val="lowerRoman"/>
      <w:lvlText w:val="%3."/>
      <w:lvlJc w:val="right"/>
      <w:pPr>
        <w:ind w:left="3312" w:hanging="180"/>
      </w:pPr>
    </w:lvl>
    <w:lvl w:ilvl="3" w:tentative="0">
      <w:start w:val="1"/>
      <w:numFmt w:val="decimal"/>
      <w:lvlText w:val="%4."/>
      <w:lvlJc w:val="left"/>
      <w:pPr>
        <w:ind w:left="4032" w:hanging="360"/>
      </w:pPr>
    </w:lvl>
    <w:lvl w:ilvl="4" w:tentative="0">
      <w:start w:val="1"/>
      <w:numFmt w:val="lowerLetter"/>
      <w:lvlText w:val="%5."/>
      <w:lvlJc w:val="left"/>
      <w:pPr>
        <w:ind w:left="4752" w:hanging="360"/>
      </w:pPr>
    </w:lvl>
    <w:lvl w:ilvl="5" w:tentative="0">
      <w:start w:val="1"/>
      <w:numFmt w:val="lowerRoman"/>
      <w:lvlText w:val="%6."/>
      <w:lvlJc w:val="right"/>
      <w:pPr>
        <w:ind w:left="5472" w:hanging="180"/>
      </w:pPr>
    </w:lvl>
    <w:lvl w:ilvl="6" w:tentative="0">
      <w:start w:val="1"/>
      <w:numFmt w:val="decimal"/>
      <w:lvlText w:val="%7."/>
      <w:lvlJc w:val="left"/>
      <w:pPr>
        <w:ind w:left="6192" w:hanging="360"/>
      </w:pPr>
    </w:lvl>
    <w:lvl w:ilvl="7" w:tentative="0">
      <w:start w:val="1"/>
      <w:numFmt w:val="lowerLetter"/>
      <w:lvlText w:val="%8."/>
      <w:lvlJc w:val="left"/>
      <w:pPr>
        <w:ind w:left="6912" w:hanging="360"/>
      </w:pPr>
    </w:lvl>
    <w:lvl w:ilvl="8" w:tentative="0">
      <w:start w:val="1"/>
      <w:numFmt w:val="lowerRoman"/>
      <w:lvlText w:val="%9."/>
      <w:lvlJc w:val="right"/>
      <w:pPr>
        <w:ind w:left="7632" w:hanging="180"/>
      </w:pPr>
    </w:lvl>
  </w:abstractNum>
  <w:abstractNum w:abstractNumId="36">
    <w:nsid w:val="19464BC0"/>
    <w:multiLevelType w:val="multilevel"/>
    <w:tmpl w:val="19464BC0"/>
    <w:lvl w:ilvl="0" w:tentative="0">
      <w:start w:val="1"/>
      <w:numFmt w:val="lowerRoman"/>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7">
    <w:nsid w:val="19B02197"/>
    <w:multiLevelType w:val="multilevel"/>
    <w:tmpl w:val="19B02197"/>
    <w:lvl w:ilvl="0" w:tentative="0">
      <w:start w:val="1"/>
      <w:numFmt w:val="decimal"/>
      <w:lvlText w:val="12.%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1A697331"/>
    <w:multiLevelType w:val="multilevel"/>
    <w:tmpl w:val="1A697331"/>
    <w:lvl w:ilvl="0" w:tentative="0">
      <w:start w:val="1"/>
      <w:numFmt w:val="decimal"/>
      <w:lvlText w:val="35.%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1A793C3B"/>
    <w:multiLevelType w:val="multilevel"/>
    <w:tmpl w:val="1A793C3B"/>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1C437E9F"/>
    <w:multiLevelType w:val="multilevel"/>
    <w:tmpl w:val="1C437E9F"/>
    <w:lvl w:ilvl="0" w:tentative="0">
      <w:start w:val="1"/>
      <w:numFmt w:val="decimal"/>
      <w:lvlText w:val="19.%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1CB02FA9"/>
    <w:multiLevelType w:val="multilevel"/>
    <w:tmpl w:val="1CB02FA9"/>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1D0F0880"/>
    <w:multiLevelType w:val="multilevel"/>
    <w:tmpl w:val="1D0F088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1D9230EF"/>
    <w:multiLevelType w:val="multilevel"/>
    <w:tmpl w:val="1D9230EF"/>
    <w:lvl w:ilvl="0" w:tentative="0">
      <w:start w:val="1"/>
      <w:numFmt w:val="low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1DE043E8"/>
    <w:multiLevelType w:val="multilevel"/>
    <w:tmpl w:val="1DE043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1E487533"/>
    <w:multiLevelType w:val="multilevel"/>
    <w:tmpl w:val="1E487533"/>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1EAD086F"/>
    <w:multiLevelType w:val="multilevel"/>
    <w:tmpl w:val="1EAD086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1F594884"/>
    <w:multiLevelType w:val="multilevel"/>
    <w:tmpl w:val="1F594884"/>
    <w:lvl w:ilvl="0" w:tentative="0">
      <w:start w:val="1"/>
      <w:numFmt w:val="decimal"/>
      <w:lvlText w:val="31.%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1FFF29A2"/>
    <w:multiLevelType w:val="multilevel"/>
    <w:tmpl w:val="1FFF29A2"/>
    <w:lvl w:ilvl="0" w:tentative="0">
      <w:start w:val="1"/>
      <w:numFmt w:val="decimal"/>
      <w:lvlText w:val="14.%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201033B7"/>
    <w:multiLevelType w:val="multilevel"/>
    <w:tmpl w:val="201033B7"/>
    <w:lvl w:ilvl="0" w:tentative="0">
      <w:start w:val="1"/>
      <w:numFmt w:val="decimal"/>
      <w:lvlText w:val="24.%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20B165F2"/>
    <w:multiLevelType w:val="multilevel"/>
    <w:tmpl w:val="20B165F2"/>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2255484D"/>
    <w:multiLevelType w:val="multilevel"/>
    <w:tmpl w:val="2255484D"/>
    <w:lvl w:ilvl="0" w:tentative="0">
      <w:start w:val="1"/>
      <w:numFmt w:val="decimal"/>
      <w:lvlText w:val="8.%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24BE5228"/>
    <w:multiLevelType w:val="multilevel"/>
    <w:tmpl w:val="24BE5228"/>
    <w:lvl w:ilvl="0" w:tentative="0">
      <w:start w:val="1"/>
      <w:numFmt w:val="decimal"/>
      <w:lvlText w:val="28.%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2A44337D"/>
    <w:multiLevelType w:val="multilevel"/>
    <w:tmpl w:val="2A44337D"/>
    <w:lvl w:ilvl="0" w:tentative="0">
      <w:start w:val="1"/>
      <w:numFmt w:val="decimal"/>
      <w:lvlText w:val="20.%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2A4A0932"/>
    <w:multiLevelType w:val="multilevel"/>
    <w:tmpl w:val="2A4A09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2B0F1088"/>
    <w:multiLevelType w:val="multilevel"/>
    <w:tmpl w:val="2B0F1088"/>
    <w:lvl w:ilvl="0" w:tentative="0">
      <w:start w:val="1"/>
      <w:numFmt w:val="decimal"/>
      <w:lvlText w:val="43.%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2BD71673"/>
    <w:multiLevelType w:val="multilevel"/>
    <w:tmpl w:val="2BD71673"/>
    <w:lvl w:ilvl="0" w:tentative="0">
      <w:start w:val="1"/>
      <w:numFmt w:val="decimal"/>
      <w:lvlText w:val="9.%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2C6E28D5"/>
    <w:multiLevelType w:val="multilevel"/>
    <w:tmpl w:val="2C6E28D5"/>
    <w:lvl w:ilvl="0" w:tentative="0">
      <w:start w:val="1"/>
      <w:numFmt w:val="lowerLetter"/>
      <w:lvlText w:val="%1)"/>
      <w:lvlJc w:val="left"/>
      <w:pPr>
        <w:tabs>
          <w:tab w:val="left" w:pos="1080"/>
        </w:tabs>
        <w:ind w:left="1080" w:hanging="360"/>
      </w:pPr>
      <w:rPr>
        <w:rFonts w:hint="default"/>
      </w:rPr>
    </w:lvl>
    <w:lvl w:ilvl="1" w:tentative="0">
      <w:start w:val="1"/>
      <w:numFmt w:val="lowerRoman"/>
      <w:lvlText w:val="%2)"/>
      <w:lvlJc w:val="right"/>
      <w:pPr>
        <w:tabs>
          <w:tab w:val="left" w:pos="1800"/>
        </w:tabs>
        <w:ind w:left="1800" w:hanging="360"/>
      </w:pPr>
      <w:rPr>
        <w:rFonts w:hint="default"/>
      </w:r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58">
    <w:nsid w:val="2D5555E6"/>
    <w:multiLevelType w:val="multilevel"/>
    <w:tmpl w:val="2D5555E6"/>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2D9D0D01"/>
    <w:multiLevelType w:val="multilevel"/>
    <w:tmpl w:val="2D9D0D01"/>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2DB0790C"/>
    <w:multiLevelType w:val="multilevel"/>
    <w:tmpl w:val="2DB0790C"/>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2DBF3179"/>
    <w:multiLevelType w:val="multilevel"/>
    <w:tmpl w:val="2DBF3179"/>
    <w:lvl w:ilvl="0" w:tentative="0">
      <w:start w:val="1"/>
      <w:numFmt w:val="decimal"/>
      <w:lvlText w:val="33.%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2E4A7891"/>
    <w:multiLevelType w:val="multilevel"/>
    <w:tmpl w:val="2E4A7891"/>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2E7B5BE5"/>
    <w:multiLevelType w:val="multilevel"/>
    <w:tmpl w:val="2E7B5BE5"/>
    <w:lvl w:ilvl="0" w:tentative="0">
      <w:start w:val="1"/>
      <w:numFmt w:val="decimal"/>
      <w:lvlText w:val="23.%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2ECC7EE8"/>
    <w:multiLevelType w:val="multilevel"/>
    <w:tmpl w:val="2ECC7EE8"/>
    <w:lvl w:ilvl="0" w:tentative="0">
      <w:start w:val="1"/>
      <w:numFmt w:val="decimal"/>
      <w:lvlText w:val="5.%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2F463F2F"/>
    <w:multiLevelType w:val="multilevel"/>
    <w:tmpl w:val="2F463F2F"/>
    <w:lvl w:ilvl="0" w:tentative="0">
      <w:start w:val="1"/>
      <w:numFmt w:val="lowerRoman"/>
      <w:lvlText w:val="(%1)"/>
      <w:lvlJc w:val="left"/>
      <w:pPr>
        <w:ind w:left="1872" w:hanging="360"/>
      </w:pPr>
      <w:rPr>
        <w:rFonts w:hint="default"/>
      </w:rPr>
    </w:lvl>
    <w:lvl w:ilvl="1" w:tentative="0">
      <w:start w:val="1"/>
      <w:numFmt w:val="lowerLetter"/>
      <w:lvlText w:val="%2."/>
      <w:lvlJc w:val="left"/>
      <w:pPr>
        <w:ind w:left="2592" w:hanging="360"/>
      </w:pPr>
    </w:lvl>
    <w:lvl w:ilvl="2" w:tentative="0">
      <w:start w:val="1"/>
      <w:numFmt w:val="lowerRoman"/>
      <w:lvlText w:val="%3."/>
      <w:lvlJc w:val="right"/>
      <w:pPr>
        <w:ind w:left="3312" w:hanging="180"/>
      </w:pPr>
    </w:lvl>
    <w:lvl w:ilvl="3" w:tentative="0">
      <w:start w:val="1"/>
      <w:numFmt w:val="decimal"/>
      <w:lvlText w:val="%4."/>
      <w:lvlJc w:val="left"/>
      <w:pPr>
        <w:ind w:left="4032" w:hanging="360"/>
      </w:pPr>
    </w:lvl>
    <w:lvl w:ilvl="4" w:tentative="0">
      <w:start w:val="1"/>
      <w:numFmt w:val="lowerLetter"/>
      <w:lvlText w:val="%5."/>
      <w:lvlJc w:val="left"/>
      <w:pPr>
        <w:ind w:left="4752" w:hanging="360"/>
      </w:pPr>
    </w:lvl>
    <w:lvl w:ilvl="5" w:tentative="0">
      <w:start w:val="1"/>
      <w:numFmt w:val="lowerRoman"/>
      <w:lvlText w:val="%6."/>
      <w:lvlJc w:val="right"/>
      <w:pPr>
        <w:ind w:left="5472" w:hanging="180"/>
      </w:pPr>
    </w:lvl>
    <w:lvl w:ilvl="6" w:tentative="0">
      <w:start w:val="1"/>
      <w:numFmt w:val="decimal"/>
      <w:lvlText w:val="%7."/>
      <w:lvlJc w:val="left"/>
      <w:pPr>
        <w:ind w:left="6192" w:hanging="360"/>
      </w:pPr>
    </w:lvl>
    <w:lvl w:ilvl="7" w:tentative="0">
      <w:start w:val="1"/>
      <w:numFmt w:val="lowerLetter"/>
      <w:lvlText w:val="%8."/>
      <w:lvlJc w:val="left"/>
      <w:pPr>
        <w:ind w:left="6912" w:hanging="360"/>
      </w:pPr>
    </w:lvl>
    <w:lvl w:ilvl="8" w:tentative="0">
      <w:start w:val="1"/>
      <w:numFmt w:val="lowerRoman"/>
      <w:lvlText w:val="%9."/>
      <w:lvlJc w:val="right"/>
      <w:pPr>
        <w:ind w:left="7632" w:hanging="180"/>
      </w:pPr>
    </w:lvl>
  </w:abstractNum>
  <w:abstractNum w:abstractNumId="66">
    <w:nsid w:val="303E06B5"/>
    <w:multiLevelType w:val="multilevel"/>
    <w:tmpl w:val="303E06B5"/>
    <w:lvl w:ilvl="0" w:tentative="0">
      <w:start w:val="1"/>
      <w:numFmt w:val="decimal"/>
      <w:lvlText w:val="%1."/>
      <w:lvlJc w:val="left"/>
      <w:pPr>
        <w:ind w:left="720" w:hanging="360"/>
      </w:pPr>
      <w:rPr>
        <w:rFonts w:hint="default"/>
        <w:b w:val="0"/>
        <w:i w:val="0"/>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30863B63"/>
    <w:multiLevelType w:val="multilevel"/>
    <w:tmpl w:val="30863B63"/>
    <w:lvl w:ilvl="0" w:tentative="0">
      <w:start w:val="1"/>
      <w:numFmt w:val="decimal"/>
      <w:lvlText w:val="39.%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30CA0341"/>
    <w:multiLevelType w:val="multilevel"/>
    <w:tmpl w:val="30CA0341"/>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314C7FA0"/>
    <w:multiLevelType w:val="multilevel"/>
    <w:tmpl w:val="314C7FA0"/>
    <w:lvl w:ilvl="0" w:tentative="0">
      <w:start w:val="1"/>
      <w:numFmt w:val="decimal"/>
      <w:lvlText w:val="25.%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0">
    <w:nsid w:val="325F176F"/>
    <w:multiLevelType w:val="multilevel"/>
    <w:tmpl w:val="325F176F"/>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327322E9"/>
    <w:multiLevelType w:val="multilevel"/>
    <w:tmpl w:val="327322E9"/>
    <w:lvl w:ilvl="0" w:tentative="0">
      <w:start w:val="1"/>
      <w:numFmt w:val="decimal"/>
      <w:lvlText w:val="34.%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32C602E8"/>
    <w:multiLevelType w:val="multilevel"/>
    <w:tmpl w:val="32C602E8"/>
    <w:lvl w:ilvl="0" w:tentative="0">
      <w:start w:val="1"/>
      <w:numFmt w:val="decimal"/>
      <w:lvlText w:val="30.%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32F05AE3"/>
    <w:multiLevelType w:val="multilevel"/>
    <w:tmpl w:val="32F05A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34F852A3"/>
    <w:multiLevelType w:val="multilevel"/>
    <w:tmpl w:val="34F852A3"/>
    <w:lvl w:ilvl="0" w:tentative="0">
      <w:start w:val="1"/>
      <w:numFmt w:val="decimal"/>
      <w:lvlText w:val="1.%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35C50E56"/>
    <w:multiLevelType w:val="multilevel"/>
    <w:tmpl w:val="35C50E56"/>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384D0E3D"/>
    <w:multiLevelType w:val="multilevel"/>
    <w:tmpl w:val="384D0E3D"/>
    <w:lvl w:ilvl="0" w:tentative="0">
      <w:start w:val="1"/>
      <w:numFmt w:val="decimal"/>
      <w:lvlText w:val="7.%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38C52D50"/>
    <w:multiLevelType w:val="multilevel"/>
    <w:tmpl w:val="38C52D50"/>
    <w:lvl w:ilvl="0" w:tentative="0">
      <w:start w:val="1"/>
      <w:numFmt w:val="lowerRoman"/>
      <w:lvlText w:val="(%1)"/>
      <w:lvlJc w:val="left"/>
      <w:pPr>
        <w:ind w:left="1872" w:hanging="360"/>
      </w:pPr>
      <w:rPr>
        <w:rFonts w:hint="default"/>
      </w:rPr>
    </w:lvl>
    <w:lvl w:ilvl="1" w:tentative="0">
      <w:start w:val="1"/>
      <w:numFmt w:val="lowerLetter"/>
      <w:lvlText w:val="%2."/>
      <w:lvlJc w:val="left"/>
      <w:pPr>
        <w:ind w:left="2592" w:hanging="360"/>
      </w:pPr>
    </w:lvl>
    <w:lvl w:ilvl="2" w:tentative="0">
      <w:start w:val="1"/>
      <w:numFmt w:val="lowerRoman"/>
      <w:lvlText w:val="%3."/>
      <w:lvlJc w:val="right"/>
      <w:pPr>
        <w:ind w:left="3312" w:hanging="180"/>
      </w:pPr>
    </w:lvl>
    <w:lvl w:ilvl="3" w:tentative="0">
      <w:start w:val="1"/>
      <w:numFmt w:val="decimal"/>
      <w:lvlText w:val="%4."/>
      <w:lvlJc w:val="left"/>
      <w:pPr>
        <w:ind w:left="4032" w:hanging="360"/>
      </w:pPr>
    </w:lvl>
    <w:lvl w:ilvl="4" w:tentative="0">
      <w:start w:val="1"/>
      <w:numFmt w:val="lowerLetter"/>
      <w:lvlText w:val="%5."/>
      <w:lvlJc w:val="left"/>
      <w:pPr>
        <w:ind w:left="4752" w:hanging="360"/>
      </w:pPr>
    </w:lvl>
    <w:lvl w:ilvl="5" w:tentative="0">
      <w:start w:val="1"/>
      <w:numFmt w:val="lowerRoman"/>
      <w:lvlText w:val="%6."/>
      <w:lvlJc w:val="right"/>
      <w:pPr>
        <w:ind w:left="5472" w:hanging="180"/>
      </w:pPr>
    </w:lvl>
    <w:lvl w:ilvl="6" w:tentative="0">
      <w:start w:val="1"/>
      <w:numFmt w:val="decimal"/>
      <w:lvlText w:val="%7."/>
      <w:lvlJc w:val="left"/>
      <w:pPr>
        <w:ind w:left="6192" w:hanging="360"/>
      </w:pPr>
    </w:lvl>
    <w:lvl w:ilvl="7" w:tentative="0">
      <w:start w:val="1"/>
      <w:numFmt w:val="lowerLetter"/>
      <w:lvlText w:val="%8."/>
      <w:lvlJc w:val="left"/>
      <w:pPr>
        <w:ind w:left="6912" w:hanging="360"/>
      </w:pPr>
    </w:lvl>
    <w:lvl w:ilvl="8" w:tentative="0">
      <w:start w:val="1"/>
      <w:numFmt w:val="lowerRoman"/>
      <w:lvlText w:val="%9."/>
      <w:lvlJc w:val="right"/>
      <w:pPr>
        <w:ind w:left="7632" w:hanging="180"/>
      </w:pPr>
    </w:lvl>
  </w:abstractNum>
  <w:abstractNum w:abstractNumId="78">
    <w:nsid w:val="39F41447"/>
    <w:multiLevelType w:val="multilevel"/>
    <w:tmpl w:val="39F41447"/>
    <w:lvl w:ilvl="0" w:tentative="0">
      <w:start w:val="1"/>
      <w:numFmt w:val="lowerLetter"/>
      <w:lvlText w:val="(%1)"/>
      <w:lvlJc w:val="left"/>
      <w:pPr>
        <w:ind w:left="1800" w:hanging="360"/>
      </w:pPr>
      <w:rPr>
        <w:rFonts w:hint="default"/>
        <w:b w:val="0"/>
        <w:color w:val="auto"/>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79">
    <w:nsid w:val="3E9B099B"/>
    <w:multiLevelType w:val="multilevel"/>
    <w:tmpl w:val="3E9B099B"/>
    <w:lvl w:ilvl="0" w:tentative="0">
      <w:start w:val="1"/>
      <w:numFmt w:val="lowerLetter"/>
      <w:lvlText w:val="(%1)"/>
      <w:lvlJc w:val="left"/>
      <w:pPr>
        <w:ind w:left="1800" w:hanging="360"/>
      </w:pPr>
      <w:rPr>
        <w:rFonts w:hint="default"/>
        <w:b w:val="0"/>
        <w:color w:val="auto"/>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80">
    <w:nsid w:val="3EF6115D"/>
    <w:multiLevelType w:val="multilevel"/>
    <w:tmpl w:val="3EF6115D"/>
    <w:lvl w:ilvl="0" w:tentative="0">
      <w:start w:val="1"/>
      <w:numFmt w:val="lowerRoman"/>
      <w:lvlText w:val="(%1)"/>
      <w:lvlJc w:val="left"/>
      <w:pPr>
        <w:ind w:left="1440" w:hanging="360"/>
      </w:pPr>
      <w:rPr>
        <w:rFonts w:hint="default"/>
        <w:b w:val="0"/>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1">
    <w:nsid w:val="3F085D4B"/>
    <w:multiLevelType w:val="multilevel"/>
    <w:tmpl w:val="3F085D4B"/>
    <w:lvl w:ilvl="0" w:tentative="0">
      <w:start w:val="1"/>
      <w:numFmt w:val="decimal"/>
      <w:lvlText w:val="25.%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2">
    <w:nsid w:val="40792571"/>
    <w:multiLevelType w:val="multilevel"/>
    <w:tmpl w:val="40792571"/>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3">
    <w:nsid w:val="40AA02BD"/>
    <w:multiLevelType w:val="multilevel"/>
    <w:tmpl w:val="40AA02BD"/>
    <w:lvl w:ilvl="0" w:tentative="0">
      <w:start w:val="1"/>
      <w:numFmt w:val="decimal"/>
      <w:lvlText w:val="3.%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4">
    <w:nsid w:val="411762DD"/>
    <w:multiLevelType w:val="multilevel"/>
    <w:tmpl w:val="411762DD"/>
    <w:lvl w:ilvl="0" w:tentative="0">
      <w:start w:val="1"/>
      <w:numFmt w:val="decimal"/>
      <w:lvlText w:val="11.%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412B5F3A"/>
    <w:multiLevelType w:val="multilevel"/>
    <w:tmpl w:val="412B5F3A"/>
    <w:lvl w:ilvl="0" w:tentative="0">
      <w:start w:val="1"/>
      <w:numFmt w:val="decimal"/>
      <w:lvlText w:val="31.%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6">
    <w:nsid w:val="41470A5E"/>
    <w:multiLevelType w:val="multilevel"/>
    <w:tmpl w:val="41470A5E"/>
    <w:lvl w:ilvl="0" w:tentative="0">
      <w:start w:val="1"/>
      <w:numFmt w:val="decimal"/>
      <w:lvlText w:val="44.%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7">
    <w:nsid w:val="415508E1"/>
    <w:multiLevelType w:val="multilevel"/>
    <w:tmpl w:val="415508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41DD70BF"/>
    <w:multiLevelType w:val="multilevel"/>
    <w:tmpl w:val="41DD70BF"/>
    <w:lvl w:ilvl="0" w:tentative="0">
      <w:start w:val="1"/>
      <w:numFmt w:val="upperRoman"/>
      <w:pStyle w:val="66"/>
      <w:lvlText w:val="%1."/>
      <w:lvlJc w:val="right"/>
      <w:pPr>
        <w:tabs>
          <w:tab w:val="left" w:pos="432"/>
        </w:tabs>
        <w:ind w:left="432" w:hanging="432"/>
      </w:pPr>
    </w:lvl>
    <w:lvl w:ilvl="1" w:tentative="0">
      <w:start w:val="1"/>
      <w:numFmt w:val="upperLetter"/>
      <w:pStyle w:val="67"/>
      <w:lvlText w:val="%2."/>
      <w:lvlJc w:val="left"/>
      <w:pPr>
        <w:tabs>
          <w:tab w:val="left" w:pos="1152"/>
        </w:tabs>
        <w:ind w:left="1152" w:hanging="576"/>
      </w:pPr>
    </w:lvl>
    <w:lvl w:ilvl="2" w:tentative="0">
      <w:start w:val="1"/>
      <w:numFmt w:val="decimal"/>
      <w:pStyle w:val="68"/>
      <w:lvlText w:val="%3."/>
      <w:lvlJc w:val="left"/>
      <w:pPr>
        <w:tabs>
          <w:tab w:val="left" w:pos="1728"/>
        </w:tabs>
        <w:ind w:left="1728" w:hanging="432"/>
      </w:pPr>
    </w:lvl>
    <w:lvl w:ilvl="3" w:tentative="0">
      <w:start w:val="1"/>
      <w:numFmt w:val="lowerLetter"/>
      <w:pStyle w:val="69"/>
      <w:lvlText w:val="%4)"/>
      <w:lvlJc w:val="left"/>
      <w:pPr>
        <w:tabs>
          <w:tab w:val="left" w:pos="2304"/>
        </w:tabs>
        <w:ind w:left="2304" w:hanging="576"/>
      </w:pPr>
    </w:lvl>
    <w:lvl w:ilvl="4" w:tentative="0">
      <w:start w:val="1"/>
      <w:numFmt w:val="decimal"/>
      <w:lvlText w:val="(%5)"/>
      <w:lvlJc w:val="left"/>
      <w:pPr>
        <w:tabs>
          <w:tab w:val="left" w:pos="3240"/>
        </w:tabs>
        <w:ind w:left="2880" w:firstLine="0"/>
      </w:pPr>
    </w:lvl>
    <w:lvl w:ilvl="5" w:tentative="0">
      <w:start w:val="1"/>
      <w:numFmt w:val="lowerLetter"/>
      <w:lvlText w:val="(%6)"/>
      <w:lvlJc w:val="left"/>
      <w:pPr>
        <w:tabs>
          <w:tab w:val="left" w:pos="3960"/>
        </w:tabs>
        <w:ind w:left="3600" w:firstLine="0"/>
      </w:pPr>
    </w:lvl>
    <w:lvl w:ilvl="6" w:tentative="0">
      <w:start w:val="1"/>
      <w:numFmt w:val="lowerRoman"/>
      <w:lvlText w:val="(%7)"/>
      <w:lvlJc w:val="left"/>
      <w:pPr>
        <w:tabs>
          <w:tab w:val="left" w:pos="4680"/>
        </w:tabs>
        <w:ind w:left="4320" w:firstLine="0"/>
      </w:pPr>
    </w:lvl>
    <w:lvl w:ilvl="7" w:tentative="0">
      <w:start w:val="1"/>
      <w:numFmt w:val="lowerLetter"/>
      <w:lvlText w:val="(%8)"/>
      <w:lvlJc w:val="left"/>
      <w:pPr>
        <w:tabs>
          <w:tab w:val="left" w:pos="5400"/>
        </w:tabs>
        <w:ind w:left="5040" w:firstLine="0"/>
      </w:pPr>
    </w:lvl>
    <w:lvl w:ilvl="8" w:tentative="0">
      <w:start w:val="1"/>
      <w:numFmt w:val="lowerRoman"/>
      <w:lvlText w:val="(%9)"/>
      <w:lvlJc w:val="left"/>
      <w:pPr>
        <w:tabs>
          <w:tab w:val="left" w:pos="6120"/>
        </w:tabs>
        <w:ind w:left="5760" w:firstLine="0"/>
      </w:pPr>
    </w:lvl>
  </w:abstractNum>
  <w:abstractNum w:abstractNumId="89">
    <w:nsid w:val="425F73AA"/>
    <w:multiLevelType w:val="multilevel"/>
    <w:tmpl w:val="425F73AA"/>
    <w:lvl w:ilvl="0" w:tentative="0">
      <w:start w:val="1"/>
      <w:numFmt w:val="decimal"/>
      <w:lvlText w:val="30.%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43C34FA6"/>
    <w:multiLevelType w:val="multilevel"/>
    <w:tmpl w:val="43C34FA6"/>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91">
    <w:nsid w:val="43F41A2E"/>
    <w:multiLevelType w:val="multilevel"/>
    <w:tmpl w:val="43F41A2E"/>
    <w:lvl w:ilvl="0" w:tentative="0">
      <w:start w:val="1"/>
      <w:numFmt w:val="decimal"/>
      <w:lvlText w:val="37.%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2">
    <w:nsid w:val="45EE0080"/>
    <w:multiLevelType w:val="multilevel"/>
    <w:tmpl w:val="45EE0080"/>
    <w:lvl w:ilvl="0" w:tentative="0">
      <w:start w:val="1"/>
      <w:numFmt w:val="decimal"/>
      <w:lvlText w:val="23.%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3">
    <w:nsid w:val="46CF2718"/>
    <w:multiLevelType w:val="multilevel"/>
    <w:tmpl w:val="46CF27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471A7686"/>
    <w:multiLevelType w:val="multilevel"/>
    <w:tmpl w:val="471A7686"/>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48122393"/>
    <w:multiLevelType w:val="multilevel"/>
    <w:tmpl w:val="48122393"/>
    <w:lvl w:ilvl="0" w:tentative="0">
      <w:start w:val="1"/>
      <w:numFmt w:val="lowerRoman"/>
      <w:lvlText w:val="(%1)"/>
      <w:lvlJc w:val="left"/>
      <w:pPr>
        <w:tabs>
          <w:tab w:val="left" w:pos="1440"/>
        </w:tabs>
        <w:ind w:left="1440" w:hanging="360"/>
      </w:pPr>
      <w:rPr>
        <w:rFonts w:hint="default" w:ascii="Calibri" w:hAnsi="Calibri"/>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6">
    <w:nsid w:val="48912B74"/>
    <w:multiLevelType w:val="multilevel"/>
    <w:tmpl w:val="48912B74"/>
    <w:lvl w:ilvl="0" w:tentative="0">
      <w:start w:val="1"/>
      <w:numFmt w:val="lowerRoman"/>
      <w:lvlText w:val="%1)"/>
      <w:lvlJc w:val="left"/>
      <w:pPr>
        <w:tabs>
          <w:tab w:val="left" w:pos="2160"/>
        </w:tabs>
        <w:ind w:left="2160" w:hanging="72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7">
    <w:nsid w:val="49C71DD9"/>
    <w:multiLevelType w:val="singleLevel"/>
    <w:tmpl w:val="49C71DD9"/>
    <w:lvl w:ilvl="0" w:tentative="0">
      <w:start w:val="1"/>
      <w:numFmt w:val="lowerLetter"/>
      <w:lvlText w:val="(%1)"/>
      <w:lvlJc w:val="left"/>
      <w:pPr>
        <w:tabs>
          <w:tab w:val="left" w:pos="716"/>
        </w:tabs>
        <w:ind w:left="716" w:hanging="720"/>
      </w:pPr>
      <w:rPr>
        <w:rFonts w:hint="default"/>
      </w:rPr>
    </w:lvl>
  </w:abstractNum>
  <w:abstractNum w:abstractNumId="98">
    <w:nsid w:val="4A490EB5"/>
    <w:multiLevelType w:val="multilevel"/>
    <w:tmpl w:val="4A490EB5"/>
    <w:lvl w:ilvl="0" w:tentative="0">
      <w:start w:val="1"/>
      <w:numFmt w:val="lowerLetter"/>
      <w:lvlText w:val="%1."/>
      <w:lvlJc w:val="left"/>
      <w:pPr>
        <w:ind w:left="2592" w:hanging="360"/>
      </w:pPr>
    </w:lvl>
    <w:lvl w:ilvl="1" w:tentative="0">
      <w:start w:val="1"/>
      <w:numFmt w:val="lowerLetter"/>
      <w:lvlText w:val="%2."/>
      <w:lvlJc w:val="left"/>
      <w:pPr>
        <w:ind w:left="3312" w:hanging="360"/>
      </w:pPr>
    </w:lvl>
    <w:lvl w:ilvl="2" w:tentative="0">
      <w:start w:val="1"/>
      <w:numFmt w:val="lowerRoman"/>
      <w:lvlText w:val="%3."/>
      <w:lvlJc w:val="right"/>
      <w:pPr>
        <w:ind w:left="4032" w:hanging="180"/>
      </w:pPr>
    </w:lvl>
    <w:lvl w:ilvl="3" w:tentative="0">
      <w:start w:val="1"/>
      <w:numFmt w:val="decimal"/>
      <w:lvlText w:val="%4."/>
      <w:lvlJc w:val="left"/>
      <w:pPr>
        <w:ind w:left="4752" w:hanging="360"/>
      </w:pPr>
    </w:lvl>
    <w:lvl w:ilvl="4" w:tentative="0">
      <w:start w:val="1"/>
      <w:numFmt w:val="lowerLetter"/>
      <w:lvlText w:val="%5."/>
      <w:lvlJc w:val="left"/>
      <w:pPr>
        <w:ind w:left="5472" w:hanging="360"/>
      </w:pPr>
    </w:lvl>
    <w:lvl w:ilvl="5" w:tentative="0">
      <w:start w:val="1"/>
      <w:numFmt w:val="lowerRoman"/>
      <w:lvlText w:val="%6."/>
      <w:lvlJc w:val="right"/>
      <w:pPr>
        <w:ind w:left="6192" w:hanging="180"/>
      </w:pPr>
    </w:lvl>
    <w:lvl w:ilvl="6" w:tentative="0">
      <w:start w:val="1"/>
      <w:numFmt w:val="decimal"/>
      <w:lvlText w:val="%7."/>
      <w:lvlJc w:val="left"/>
      <w:pPr>
        <w:ind w:left="6912" w:hanging="360"/>
      </w:pPr>
    </w:lvl>
    <w:lvl w:ilvl="7" w:tentative="0">
      <w:start w:val="1"/>
      <w:numFmt w:val="lowerLetter"/>
      <w:lvlText w:val="%8."/>
      <w:lvlJc w:val="left"/>
      <w:pPr>
        <w:ind w:left="7632" w:hanging="360"/>
      </w:pPr>
    </w:lvl>
    <w:lvl w:ilvl="8" w:tentative="0">
      <w:start w:val="1"/>
      <w:numFmt w:val="lowerRoman"/>
      <w:lvlText w:val="%9."/>
      <w:lvlJc w:val="right"/>
      <w:pPr>
        <w:ind w:left="8352" w:hanging="180"/>
      </w:pPr>
    </w:lvl>
  </w:abstractNum>
  <w:abstractNum w:abstractNumId="99">
    <w:nsid w:val="4A5D239B"/>
    <w:multiLevelType w:val="multilevel"/>
    <w:tmpl w:val="4A5D239B"/>
    <w:lvl w:ilvl="0" w:tentative="0">
      <w:start w:val="1"/>
      <w:numFmt w:val="lowerLetter"/>
      <w:lvlText w:val="(%1)"/>
      <w:lvlJc w:val="left"/>
      <w:pPr>
        <w:ind w:left="1800" w:hanging="360"/>
      </w:pPr>
      <w:rPr>
        <w:rFonts w:hint="default"/>
        <w:b w:val="0"/>
        <w:color w:val="auto"/>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100">
    <w:nsid w:val="4ABD6B9D"/>
    <w:multiLevelType w:val="multilevel"/>
    <w:tmpl w:val="4ABD6B9D"/>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4B2F1EDC"/>
    <w:multiLevelType w:val="multilevel"/>
    <w:tmpl w:val="4B2F1EDC"/>
    <w:lvl w:ilvl="0" w:tentative="0">
      <w:start w:val="1"/>
      <w:numFmt w:val="decimal"/>
      <w:lvlText w:val="2.%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2">
    <w:nsid w:val="4CA64D6C"/>
    <w:multiLevelType w:val="multilevel"/>
    <w:tmpl w:val="4CA64D6C"/>
    <w:lvl w:ilvl="0" w:tentative="0">
      <w:start w:val="1"/>
      <w:numFmt w:val="decimal"/>
      <w:lvlText w:val="18.%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3">
    <w:nsid w:val="4CC73441"/>
    <w:multiLevelType w:val="multilevel"/>
    <w:tmpl w:val="4CC73441"/>
    <w:lvl w:ilvl="0" w:tentative="0">
      <w:start w:val="1"/>
      <w:numFmt w:val="decimal"/>
      <w:lvlText w:val="2.%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4">
    <w:nsid w:val="4D9808E9"/>
    <w:multiLevelType w:val="multilevel"/>
    <w:tmpl w:val="4D9808E9"/>
    <w:lvl w:ilvl="0" w:tentative="0">
      <w:start w:val="1"/>
      <w:numFmt w:val="decimal"/>
      <w:lvlText w:val="15.%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4F9E1BE0"/>
    <w:multiLevelType w:val="multilevel"/>
    <w:tmpl w:val="4F9E1BE0"/>
    <w:lvl w:ilvl="0" w:tentative="0">
      <w:start w:val="1"/>
      <w:numFmt w:val="lowerLetter"/>
      <w:lvlText w:val="(%1)"/>
      <w:lvlJc w:val="left"/>
      <w:pPr>
        <w:ind w:left="1800" w:hanging="360"/>
      </w:pPr>
      <w:rPr>
        <w:rFonts w:hint="default"/>
        <w:b w:val="0"/>
        <w:color w:val="auto"/>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106">
    <w:nsid w:val="51562322"/>
    <w:multiLevelType w:val="multilevel"/>
    <w:tmpl w:val="51562322"/>
    <w:lvl w:ilvl="0" w:tentative="0">
      <w:start w:val="1"/>
      <w:numFmt w:val="decimal"/>
      <w:lvlText w:val="12.%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518B1783"/>
    <w:multiLevelType w:val="multilevel"/>
    <w:tmpl w:val="518B1783"/>
    <w:lvl w:ilvl="0" w:tentative="0">
      <w:start w:val="1"/>
      <w:numFmt w:val="decimal"/>
      <w:lvlText w:val="10.%1"/>
      <w:lvlJc w:val="left"/>
      <w:pPr>
        <w:ind w:left="990" w:hanging="360"/>
      </w:pPr>
      <w:rPr>
        <w:rFonts w:hint="default"/>
        <w:b w:val="0"/>
      </w:rPr>
    </w:lvl>
    <w:lvl w:ilvl="1" w:tentative="0">
      <w:start w:val="1"/>
      <w:numFmt w:val="lowerLetter"/>
      <w:lvlText w:val="%2."/>
      <w:lvlJc w:val="left"/>
      <w:pPr>
        <w:ind w:left="1710" w:hanging="360"/>
      </w:pPr>
    </w:lvl>
    <w:lvl w:ilvl="2" w:tentative="0">
      <w:start w:val="1"/>
      <w:numFmt w:val="lowerRoman"/>
      <w:lvlText w:val="%3."/>
      <w:lvlJc w:val="right"/>
      <w:pPr>
        <w:ind w:left="2430" w:hanging="180"/>
      </w:pPr>
    </w:lvl>
    <w:lvl w:ilvl="3" w:tentative="0">
      <w:start w:val="1"/>
      <w:numFmt w:val="decimal"/>
      <w:lvlText w:val="%4."/>
      <w:lvlJc w:val="left"/>
      <w:pPr>
        <w:ind w:left="3150" w:hanging="360"/>
      </w:pPr>
    </w:lvl>
    <w:lvl w:ilvl="4" w:tentative="0">
      <w:start w:val="1"/>
      <w:numFmt w:val="lowerLetter"/>
      <w:lvlText w:val="%5."/>
      <w:lvlJc w:val="left"/>
      <w:pPr>
        <w:ind w:left="3870" w:hanging="360"/>
      </w:pPr>
    </w:lvl>
    <w:lvl w:ilvl="5" w:tentative="0">
      <w:start w:val="1"/>
      <w:numFmt w:val="lowerRoman"/>
      <w:lvlText w:val="%6."/>
      <w:lvlJc w:val="right"/>
      <w:pPr>
        <w:ind w:left="4590" w:hanging="180"/>
      </w:pPr>
    </w:lvl>
    <w:lvl w:ilvl="6" w:tentative="0">
      <w:start w:val="1"/>
      <w:numFmt w:val="decimal"/>
      <w:lvlText w:val="%7."/>
      <w:lvlJc w:val="left"/>
      <w:pPr>
        <w:ind w:left="5310" w:hanging="360"/>
      </w:pPr>
    </w:lvl>
    <w:lvl w:ilvl="7" w:tentative="0">
      <w:start w:val="1"/>
      <w:numFmt w:val="lowerLetter"/>
      <w:lvlText w:val="%8."/>
      <w:lvlJc w:val="left"/>
      <w:pPr>
        <w:ind w:left="6030" w:hanging="360"/>
      </w:pPr>
    </w:lvl>
    <w:lvl w:ilvl="8" w:tentative="0">
      <w:start w:val="1"/>
      <w:numFmt w:val="lowerRoman"/>
      <w:lvlText w:val="%9."/>
      <w:lvlJc w:val="right"/>
      <w:pPr>
        <w:ind w:left="6750" w:hanging="180"/>
      </w:pPr>
    </w:lvl>
  </w:abstractNum>
  <w:abstractNum w:abstractNumId="108">
    <w:nsid w:val="51AD1819"/>
    <w:multiLevelType w:val="multilevel"/>
    <w:tmpl w:val="51AD1819"/>
    <w:lvl w:ilvl="0" w:tentative="0">
      <w:start w:val="1"/>
      <w:numFmt w:val="decimal"/>
      <w:lvlText w:val="%1."/>
      <w:lvlJc w:val="left"/>
      <w:pPr>
        <w:ind w:left="720" w:hanging="360"/>
      </w:pPr>
      <w:rPr>
        <w:rFonts w:hint="default" w:ascii="Calibri" w:hAnsi="Calibr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9">
    <w:nsid w:val="52802EAD"/>
    <w:multiLevelType w:val="multilevel"/>
    <w:tmpl w:val="52802EAD"/>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0">
    <w:nsid w:val="52C17AC3"/>
    <w:multiLevelType w:val="multilevel"/>
    <w:tmpl w:val="52C17AC3"/>
    <w:lvl w:ilvl="0" w:tentative="0">
      <w:start w:val="1"/>
      <w:numFmt w:val="decimal"/>
      <w:lvlText w:val="20.%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1">
    <w:nsid w:val="52FA7EC8"/>
    <w:multiLevelType w:val="multilevel"/>
    <w:tmpl w:val="52FA7EC8"/>
    <w:lvl w:ilvl="0" w:tentative="0">
      <w:start w:val="6"/>
      <w:numFmt w:val="decimal"/>
      <w:lvlText w:val="%1"/>
      <w:lvlJc w:val="left"/>
      <w:pPr>
        <w:tabs>
          <w:tab w:val="left" w:pos="600"/>
        </w:tabs>
        <w:ind w:left="600" w:hanging="600"/>
      </w:pPr>
      <w:rPr>
        <w:rFonts w:hint="default"/>
      </w:rPr>
    </w:lvl>
    <w:lvl w:ilvl="1" w:tentative="0">
      <w:start w:val="1"/>
      <w:numFmt w:val="decimal"/>
      <w:lvlText w:val="6.%2"/>
      <w:lvlJc w:val="left"/>
      <w:pPr>
        <w:tabs>
          <w:tab w:val="left" w:pos="600"/>
        </w:tabs>
        <w:ind w:left="600" w:hanging="600"/>
      </w:pPr>
      <w:rPr>
        <w:rFonts w:hint="default"/>
      </w:rPr>
    </w:lvl>
    <w:lvl w:ilvl="2" w:tentative="0">
      <w:start w:val="1"/>
      <w:numFmt w:val="lowerLetter"/>
      <w:lvlText w:val="(%3)"/>
      <w:lvlJc w:val="left"/>
      <w:pPr>
        <w:tabs>
          <w:tab w:val="left" w:pos="1152"/>
        </w:tabs>
        <w:ind w:left="1152" w:hanging="547"/>
      </w:pPr>
      <w:rPr>
        <w:rFonts w:hint="default"/>
      </w:rPr>
    </w:lvl>
    <w:lvl w:ilvl="3" w:tentative="0">
      <w:start w:val="1"/>
      <w:numFmt w:val="lowerRoman"/>
      <w:lvlText w:val="(%4)"/>
      <w:lvlJc w:val="left"/>
      <w:pPr>
        <w:tabs>
          <w:tab w:val="left" w:pos="1901"/>
        </w:tabs>
        <w:ind w:left="1512" w:hanging="331"/>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12">
    <w:nsid w:val="53B22A75"/>
    <w:multiLevelType w:val="multilevel"/>
    <w:tmpl w:val="53B22A75"/>
    <w:lvl w:ilvl="0" w:tentative="0">
      <w:start w:val="1"/>
      <w:numFmt w:val="lowerLetter"/>
      <w:lvlText w:val="(%1)"/>
      <w:lvlJc w:val="left"/>
      <w:pPr>
        <w:ind w:left="1800" w:hanging="360"/>
      </w:pPr>
      <w:rPr>
        <w:rFonts w:hint="default"/>
        <w:b w:val="0"/>
        <w:i w:val="0"/>
        <w:color w:val="auto"/>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113">
    <w:nsid w:val="54144988"/>
    <w:multiLevelType w:val="multilevel"/>
    <w:tmpl w:val="54144988"/>
    <w:lvl w:ilvl="0" w:tentative="0">
      <w:start w:val="1"/>
      <w:numFmt w:val="decimal"/>
      <w:lvlText w:val="22.%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55141A64"/>
    <w:multiLevelType w:val="multilevel"/>
    <w:tmpl w:val="55141A64"/>
    <w:lvl w:ilvl="0" w:tentative="0">
      <w:start w:val="1"/>
      <w:numFmt w:val="decimal"/>
      <w:lvlText w:val="16.%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5">
    <w:nsid w:val="553C33B8"/>
    <w:multiLevelType w:val="multilevel"/>
    <w:tmpl w:val="553C33B8"/>
    <w:lvl w:ilvl="0" w:tentative="0">
      <w:start w:val="1"/>
      <w:numFmt w:val="decimal"/>
      <w:lvlText w:val="17.%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6">
    <w:nsid w:val="563033C9"/>
    <w:multiLevelType w:val="multilevel"/>
    <w:tmpl w:val="563033C9"/>
    <w:lvl w:ilvl="0" w:tentative="0">
      <w:start w:val="1"/>
      <w:numFmt w:val="lowerLetter"/>
      <w:lvlText w:val="(%1)"/>
      <w:lvlJc w:val="left"/>
      <w:pPr>
        <w:ind w:left="1800" w:hanging="360"/>
      </w:pPr>
      <w:rPr>
        <w:rFonts w:hint="default"/>
        <w:b w:val="0"/>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117">
    <w:nsid w:val="57186DBC"/>
    <w:multiLevelType w:val="multilevel"/>
    <w:tmpl w:val="57186DBC"/>
    <w:lvl w:ilvl="0" w:tentative="0">
      <w:start w:val="3"/>
      <w:numFmt w:val="bullet"/>
      <w:lvlText w:val=""/>
      <w:lvlJc w:val="left"/>
      <w:pPr>
        <w:ind w:left="1287" w:hanging="360"/>
      </w:pPr>
      <w:rPr>
        <w:rFonts w:hint="default" w:ascii="Symbol" w:hAnsi="Symbol" w:eastAsia="Calibri" w:cs="Aria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8">
    <w:nsid w:val="573132CE"/>
    <w:multiLevelType w:val="multilevel"/>
    <w:tmpl w:val="573132CE"/>
    <w:lvl w:ilvl="0" w:tentative="0">
      <w:start w:val="1"/>
      <w:numFmt w:val="decimal"/>
      <w:lvlText w:val="6.%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57465384"/>
    <w:multiLevelType w:val="multilevel"/>
    <w:tmpl w:val="57465384"/>
    <w:lvl w:ilvl="0" w:tentative="0">
      <w:start w:val="1"/>
      <w:numFmt w:val="decimal"/>
      <w:lvlText w:val="19.%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0">
    <w:nsid w:val="57BE4AF5"/>
    <w:multiLevelType w:val="multilevel"/>
    <w:tmpl w:val="57BE4AF5"/>
    <w:lvl w:ilvl="0" w:tentative="0">
      <w:start w:val="1"/>
      <w:numFmt w:val="decimal"/>
      <w:lvlText w:val="%1."/>
      <w:lvlJc w:val="left"/>
      <w:pPr>
        <w:ind w:left="720" w:hanging="360"/>
      </w:pPr>
      <w:rPr>
        <w:rFonts w:hint="default" w:ascii="Calibri" w:hAnsi="Calibr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1">
    <w:nsid w:val="57C728A2"/>
    <w:multiLevelType w:val="multilevel"/>
    <w:tmpl w:val="57C728A2"/>
    <w:lvl w:ilvl="0" w:tentative="0">
      <w:start w:val="1"/>
      <w:numFmt w:val="decimal"/>
      <w:lvlText w:val="32.%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2">
    <w:nsid w:val="585343B4"/>
    <w:multiLevelType w:val="multilevel"/>
    <w:tmpl w:val="585343B4"/>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3">
    <w:nsid w:val="587F3EE8"/>
    <w:multiLevelType w:val="multilevel"/>
    <w:tmpl w:val="587F3EE8"/>
    <w:lvl w:ilvl="0" w:tentative="0">
      <w:start w:val="1"/>
      <w:numFmt w:val="lowerLetter"/>
      <w:lvlText w:val="(%1)"/>
      <w:lvlJc w:val="left"/>
      <w:pPr>
        <w:tabs>
          <w:tab w:val="left" w:pos="2232"/>
        </w:tabs>
        <w:ind w:left="2232" w:hanging="504"/>
      </w:pPr>
      <w:rPr>
        <w:rFonts w:hint="default"/>
      </w:rPr>
    </w:lvl>
    <w:lvl w:ilvl="1" w:tentative="0">
      <w:start w:val="1"/>
      <w:numFmt w:val="lowerRoman"/>
      <w:lvlText w:val="(%2)"/>
      <w:lvlJc w:val="left"/>
      <w:pPr>
        <w:tabs>
          <w:tab w:val="left" w:pos="1440"/>
        </w:tabs>
        <w:ind w:left="1440" w:hanging="360"/>
      </w:pPr>
      <w:rPr>
        <w:rFonts w:hint="default" w:ascii="Calibri" w:hAnsi="Calibri"/>
        <w:sz w:val="22"/>
        <w:szCs w:val="22"/>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4">
    <w:nsid w:val="59FD1068"/>
    <w:multiLevelType w:val="multilevel"/>
    <w:tmpl w:val="59FD1068"/>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5B6754DC"/>
    <w:multiLevelType w:val="multilevel"/>
    <w:tmpl w:val="5B6754DC"/>
    <w:lvl w:ilvl="0" w:tentative="0">
      <w:start w:val="1"/>
      <w:numFmt w:val="lowerRoman"/>
      <w:lvlText w:val="(%1)"/>
      <w:lvlJc w:val="left"/>
      <w:pPr>
        <w:ind w:left="1440" w:hanging="360"/>
      </w:pPr>
      <w:rPr>
        <w:rFonts w:hint="default"/>
      </w:rPr>
    </w:lvl>
    <w:lvl w:ilvl="1" w:tentative="0">
      <w:start w:val="1"/>
      <w:numFmt w:val="lowerLetter"/>
      <w:lvlText w:val="a.%2."/>
      <w:lvlJc w:val="left"/>
      <w:pPr>
        <w:ind w:left="2160" w:hanging="360"/>
      </w:pPr>
      <w:rPr>
        <w:rFonts w:hint="default"/>
      </w:rPr>
    </w:lvl>
    <w:lvl w:ilvl="2" w:tentative="0">
      <w:start w:val="1"/>
      <w:numFmt w:val="decimal"/>
      <w:lvlText w:val="%3."/>
      <w:lvlJc w:val="left"/>
      <w:pPr>
        <w:ind w:left="3060" w:hanging="360"/>
      </w:pPr>
      <w:rPr>
        <w:rFonts w:hint="default"/>
      </w:rPr>
    </w:lvl>
    <w:lvl w:ilvl="3" w:tentative="0">
      <w:start w:val="1"/>
      <w:numFmt w:val="lowerLetter"/>
      <w:lvlText w:val="(%4)"/>
      <w:lvlJc w:val="left"/>
      <w:pPr>
        <w:ind w:left="3600" w:hanging="360"/>
      </w:pPr>
      <w:rPr>
        <w:rFonts w:hint="default"/>
        <w:b/>
      </w:r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26">
    <w:nsid w:val="5C4808C1"/>
    <w:multiLevelType w:val="multilevel"/>
    <w:tmpl w:val="5C4808C1"/>
    <w:lvl w:ilvl="0" w:tentative="0">
      <w:start w:val="1"/>
      <w:numFmt w:val="decimal"/>
      <w:lvlText w:val="21.%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7">
    <w:nsid w:val="5C957A31"/>
    <w:multiLevelType w:val="multilevel"/>
    <w:tmpl w:val="5C957A31"/>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8">
    <w:nsid w:val="5CDD41D5"/>
    <w:multiLevelType w:val="multilevel"/>
    <w:tmpl w:val="5CDD41D5"/>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5D0715BF"/>
    <w:multiLevelType w:val="multilevel"/>
    <w:tmpl w:val="5D0715BF"/>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5D527028"/>
    <w:multiLevelType w:val="multilevel"/>
    <w:tmpl w:val="5D527028"/>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5D5A0B7B"/>
    <w:multiLevelType w:val="multilevel"/>
    <w:tmpl w:val="5D5A0B7B"/>
    <w:lvl w:ilvl="0" w:tentative="0">
      <w:start w:val="1"/>
      <w:numFmt w:val="decimal"/>
      <w:lvlText w:val="24.%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2">
    <w:nsid w:val="5DC06B3A"/>
    <w:multiLevelType w:val="multilevel"/>
    <w:tmpl w:val="5DC06B3A"/>
    <w:lvl w:ilvl="0" w:tentative="0">
      <w:start w:val="1"/>
      <w:numFmt w:val="decimal"/>
      <w:lvlText w:val="%1."/>
      <w:lvlJc w:val="left"/>
      <w:pPr>
        <w:ind w:left="720" w:hanging="360"/>
      </w:pPr>
      <w:rPr>
        <w:rFonts w:hint="default"/>
        <w:b w:val="0"/>
        <w:i w:val="0"/>
        <w:color w:val="auto"/>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3">
    <w:nsid w:val="5DD44632"/>
    <w:multiLevelType w:val="multilevel"/>
    <w:tmpl w:val="5DD44632"/>
    <w:lvl w:ilvl="0" w:tentative="0">
      <w:start w:val="1"/>
      <w:numFmt w:val="bullet"/>
      <w:lvlText w:val=""/>
      <w:lvlJc w:val="left"/>
      <w:pPr>
        <w:ind w:left="1065" w:hanging="360"/>
      </w:pPr>
      <w:rPr>
        <w:rFonts w:hint="default" w:ascii="Symbol" w:hAnsi="Symbol"/>
      </w:rPr>
    </w:lvl>
    <w:lvl w:ilvl="1" w:tentative="0">
      <w:start w:val="1"/>
      <w:numFmt w:val="lowerLetter"/>
      <w:lvlText w:val="%2."/>
      <w:lvlJc w:val="left"/>
      <w:pPr>
        <w:ind w:left="1785" w:hanging="360"/>
      </w:pPr>
    </w:lvl>
    <w:lvl w:ilvl="2" w:tentative="0">
      <w:start w:val="1"/>
      <w:numFmt w:val="lowerRoman"/>
      <w:lvlText w:val="%3."/>
      <w:lvlJc w:val="right"/>
      <w:pPr>
        <w:ind w:left="2505" w:hanging="180"/>
      </w:pPr>
    </w:lvl>
    <w:lvl w:ilvl="3" w:tentative="0">
      <w:start w:val="1"/>
      <w:numFmt w:val="decimal"/>
      <w:lvlText w:val="%4."/>
      <w:lvlJc w:val="left"/>
      <w:pPr>
        <w:ind w:left="3225" w:hanging="360"/>
      </w:pPr>
    </w:lvl>
    <w:lvl w:ilvl="4" w:tentative="0">
      <w:start w:val="1"/>
      <w:numFmt w:val="lowerLetter"/>
      <w:lvlText w:val="%5."/>
      <w:lvlJc w:val="left"/>
      <w:pPr>
        <w:ind w:left="3945" w:hanging="360"/>
      </w:pPr>
    </w:lvl>
    <w:lvl w:ilvl="5" w:tentative="0">
      <w:start w:val="1"/>
      <w:numFmt w:val="lowerRoman"/>
      <w:lvlText w:val="%6."/>
      <w:lvlJc w:val="right"/>
      <w:pPr>
        <w:ind w:left="4665" w:hanging="180"/>
      </w:pPr>
    </w:lvl>
    <w:lvl w:ilvl="6" w:tentative="0">
      <w:start w:val="1"/>
      <w:numFmt w:val="decimal"/>
      <w:lvlText w:val="%7."/>
      <w:lvlJc w:val="left"/>
      <w:pPr>
        <w:ind w:left="5385" w:hanging="360"/>
      </w:pPr>
    </w:lvl>
    <w:lvl w:ilvl="7" w:tentative="0">
      <w:start w:val="1"/>
      <w:numFmt w:val="lowerLetter"/>
      <w:lvlText w:val="%8."/>
      <w:lvlJc w:val="left"/>
      <w:pPr>
        <w:ind w:left="6105" w:hanging="360"/>
      </w:pPr>
    </w:lvl>
    <w:lvl w:ilvl="8" w:tentative="0">
      <w:start w:val="1"/>
      <w:numFmt w:val="lowerRoman"/>
      <w:lvlText w:val="%9."/>
      <w:lvlJc w:val="right"/>
      <w:pPr>
        <w:ind w:left="6825" w:hanging="180"/>
      </w:pPr>
    </w:lvl>
  </w:abstractNum>
  <w:abstractNum w:abstractNumId="134">
    <w:nsid w:val="5DE7276A"/>
    <w:multiLevelType w:val="multilevel"/>
    <w:tmpl w:val="5DE7276A"/>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5">
    <w:nsid w:val="5EF3574B"/>
    <w:multiLevelType w:val="multilevel"/>
    <w:tmpl w:val="5EF3574B"/>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6">
    <w:nsid w:val="5F160A0B"/>
    <w:multiLevelType w:val="multilevel"/>
    <w:tmpl w:val="5F160A0B"/>
    <w:lvl w:ilvl="0" w:tentative="0">
      <w:start w:val="1"/>
      <w:numFmt w:val="decimal"/>
      <w:lvlText w:val="28.%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7">
    <w:nsid w:val="5F50442F"/>
    <w:multiLevelType w:val="multilevel"/>
    <w:tmpl w:val="5F50442F"/>
    <w:lvl w:ilvl="0" w:tentative="0">
      <w:start w:val="1"/>
      <w:numFmt w:val="decimal"/>
      <w:lvlText w:val="1.%1"/>
      <w:lvlJc w:val="left"/>
      <w:pPr>
        <w:ind w:left="720" w:hanging="360"/>
      </w:pPr>
      <w:rPr>
        <w:rFonts w:hint="default"/>
        <w:b w:val="0"/>
        <w:i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8">
    <w:nsid w:val="5FC01AC6"/>
    <w:multiLevelType w:val="multilevel"/>
    <w:tmpl w:val="5FC01AC6"/>
    <w:lvl w:ilvl="0" w:tentative="0">
      <w:start w:val="1"/>
      <w:numFmt w:val="decimal"/>
      <w:lvlText w:val="22.%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9">
    <w:nsid w:val="5FDC4F5D"/>
    <w:multiLevelType w:val="multilevel"/>
    <w:tmpl w:val="5FDC4F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0">
    <w:nsid w:val="60270B15"/>
    <w:multiLevelType w:val="multilevel"/>
    <w:tmpl w:val="60270B15"/>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1">
    <w:nsid w:val="61CF1B8A"/>
    <w:multiLevelType w:val="multilevel"/>
    <w:tmpl w:val="61CF1B8A"/>
    <w:lvl w:ilvl="0" w:tentative="0">
      <w:start w:val="1"/>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2">
    <w:nsid w:val="63E45E08"/>
    <w:multiLevelType w:val="multilevel"/>
    <w:tmpl w:val="63E45E08"/>
    <w:lvl w:ilvl="0" w:tentative="0">
      <w:start w:val="1"/>
      <w:numFmt w:val="decimal"/>
      <w:lvlText w:val="18.%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3">
    <w:nsid w:val="645E35BA"/>
    <w:multiLevelType w:val="multilevel"/>
    <w:tmpl w:val="645E35BA"/>
    <w:lvl w:ilvl="0" w:tentative="0">
      <w:start w:val="1"/>
      <w:numFmt w:val="decimal"/>
      <w:lvlText w:val="16.%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4">
    <w:nsid w:val="659A1B0E"/>
    <w:multiLevelType w:val="multilevel"/>
    <w:tmpl w:val="659A1B0E"/>
    <w:lvl w:ilvl="0" w:tentative="0">
      <w:start w:val="1"/>
      <w:numFmt w:val="decimal"/>
      <w:lvlText w:val="%1."/>
      <w:lvlJc w:val="left"/>
      <w:pPr>
        <w:ind w:left="720" w:hanging="360"/>
      </w:pPr>
      <w:rPr>
        <w:b w:val="0"/>
        <w:lang w:val="es-EC"/>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5">
    <w:nsid w:val="65E66AB3"/>
    <w:multiLevelType w:val="multilevel"/>
    <w:tmpl w:val="65E66AB3"/>
    <w:lvl w:ilvl="0" w:tentative="0">
      <w:start w:val="1"/>
      <w:numFmt w:val="decimal"/>
      <w:lvlText w:val="36.%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661F6D48"/>
    <w:multiLevelType w:val="multilevel"/>
    <w:tmpl w:val="661F6D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7">
    <w:nsid w:val="67BE2850"/>
    <w:multiLevelType w:val="multilevel"/>
    <w:tmpl w:val="67BE2850"/>
    <w:lvl w:ilvl="0" w:tentative="0">
      <w:start w:val="1"/>
      <w:numFmt w:val="decimal"/>
      <w:lvlText w:val="11.%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8">
    <w:nsid w:val="687A57AD"/>
    <w:multiLevelType w:val="multilevel"/>
    <w:tmpl w:val="687A57AD"/>
    <w:lvl w:ilvl="0" w:tentative="0">
      <w:start w:val="1"/>
      <w:numFmt w:val="decimal"/>
      <w:lvlText w:val="37.%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9">
    <w:nsid w:val="68D62F75"/>
    <w:multiLevelType w:val="multilevel"/>
    <w:tmpl w:val="68D62F75"/>
    <w:lvl w:ilvl="0" w:tentative="0">
      <w:start w:val="1"/>
      <w:numFmt w:val="lowerRoman"/>
      <w:lvlText w:val="(%1)"/>
      <w:lvlJc w:val="left"/>
      <w:pPr>
        <w:ind w:left="1872" w:hanging="360"/>
      </w:pPr>
      <w:rPr>
        <w:rFonts w:hint="default"/>
      </w:rPr>
    </w:lvl>
    <w:lvl w:ilvl="1" w:tentative="0">
      <w:start w:val="1"/>
      <w:numFmt w:val="lowerLetter"/>
      <w:lvlText w:val="%2."/>
      <w:lvlJc w:val="left"/>
      <w:pPr>
        <w:ind w:left="2592" w:hanging="360"/>
      </w:pPr>
    </w:lvl>
    <w:lvl w:ilvl="2" w:tentative="0">
      <w:start w:val="1"/>
      <w:numFmt w:val="lowerRoman"/>
      <w:lvlText w:val="%3."/>
      <w:lvlJc w:val="right"/>
      <w:pPr>
        <w:ind w:left="3312" w:hanging="180"/>
      </w:pPr>
    </w:lvl>
    <w:lvl w:ilvl="3" w:tentative="0">
      <w:start w:val="1"/>
      <w:numFmt w:val="decimal"/>
      <w:lvlText w:val="%4."/>
      <w:lvlJc w:val="left"/>
      <w:pPr>
        <w:ind w:left="4032" w:hanging="360"/>
      </w:pPr>
    </w:lvl>
    <w:lvl w:ilvl="4" w:tentative="0">
      <w:start w:val="1"/>
      <w:numFmt w:val="lowerLetter"/>
      <w:lvlText w:val="%5."/>
      <w:lvlJc w:val="left"/>
      <w:pPr>
        <w:ind w:left="4752" w:hanging="360"/>
      </w:pPr>
    </w:lvl>
    <w:lvl w:ilvl="5" w:tentative="0">
      <w:start w:val="1"/>
      <w:numFmt w:val="lowerRoman"/>
      <w:lvlText w:val="%6."/>
      <w:lvlJc w:val="right"/>
      <w:pPr>
        <w:ind w:left="5472" w:hanging="180"/>
      </w:pPr>
    </w:lvl>
    <w:lvl w:ilvl="6" w:tentative="0">
      <w:start w:val="1"/>
      <w:numFmt w:val="decimal"/>
      <w:lvlText w:val="%7."/>
      <w:lvlJc w:val="left"/>
      <w:pPr>
        <w:ind w:left="6192" w:hanging="360"/>
      </w:pPr>
    </w:lvl>
    <w:lvl w:ilvl="7" w:tentative="0">
      <w:start w:val="1"/>
      <w:numFmt w:val="lowerLetter"/>
      <w:lvlText w:val="%8."/>
      <w:lvlJc w:val="left"/>
      <w:pPr>
        <w:ind w:left="6912" w:hanging="360"/>
      </w:pPr>
    </w:lvl>
    <w:lvl w:ilvl="8" w:tentative="0">
      <w:start w:val="1"/>
      <w:numFmt w:val="lowerRoman"/>
      <w:lvlText w:val="%9."/>
      <w:lvlJc w:val="right"/>
      <w:pPr>
        <w:ind w:left="7632" w:hanging="180"/>
      </w:pPr>
    </w:lvl>
  </w:abstractNum>
  <w:abstractNum w:abstractNumId="150">
    <w:nsid w:val="6938542B"/>
    <w:multiLevelType w:val="multilevel"/>
    <w:tmpl w:val="6938542B"/>
    <w:lvl w:ilvl="0" w:tentative="0">
      <w:start w:val="1"/>
      <w:numFmt w:val="decimal"/>
      <w:lvlText w:val="26.%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1">
    <w:nsid w:val="693C7CA1"/>
    <w:multiLevelType w:val="singleLevel"/>
    <w:tmpl w:val="693C7CA1"/>
    <w:lvl w:ilvl="0" w:tentative="0">
      <w:start w:val="5"/>
      <w:numFmt w:val="bullet"/>
      <w:lvlText w:val=""/>
      <w:lvlJc w:val="left"/>
      <w:pPr>
        <w:tabs>
          <w:tab w:val="left" w:pos="372"/>
        </w:tabs>
        <w:ind w:left="372" w:hanging="372"/>
      </w:pPr>
      <w:rPr>
        <w:rFonts w:hint="default" w:ascii="Symbol" w:hAnsi="Symbol"/>
        <w:sz w:val="32"/>
      </w:rPr>
    </w:lvl>
  </w:abstractNum>
  <w:abstractNum w:abstractNumId="152">
    <w:nsid w:val="69A94665"/>
    <w:multiLevelType w:val="multilevel"/>
    <w:tmpl w:val="69A94665"/>
    <w:lvl w:ilvl="0" w:tentative="0">
      <w:start w:val="1"/>
      <w:numFmt w:val="lowerLetter"/>
      <w:lvlText w:val="(%1)"/>
      <w:lvlJc w:val="left"/>
      <w:pPr>
        <w:ind w:left="1800" w:hanging="360"/>
      </w:pPr>
      <w:rPr>
        <w:rFonts w:hint="default"/>
        <w:b w:val="0"/>
        <w:color w:val="auto"/>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153">
    <w:nsid w:val="69AA6424"/>
    <w:multiLevelType w:val="multilevel"/>
    <w:tmpl w:val="69AA6424"/>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4">
    <w:nsid w:val="6AAB6BEC"/>
    <w:multiLevelType w:val="multilevel"/>
    <w:tmpl w:val="6AAB6BE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5">
    <w:nsid w:val="6B090F03"/>
    <w:multiLevelType w:val="multilevel"/>
    <w:tmpl w:val="6B090F03"/>
    <w:lvl w:ilvl="0" w:tentative="0">
      <w:start w:val="1"/>
      <w:numFmt w:val="lowerLetter"/>
      <w:lvlText w:val="(%1)"/>
      <w:lvlJc w:val="left"/>
      <w:pPr>
        <w:ind w:left="5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6">
    <w:nsid w:val="6C1402FE"/>
    <w:multiLevelType w:val="multilevel"/>
    <w:tmpl w:val="6C1402FE"/>
    <w:lvl w:ilvl="0" w:tentative="0">
      <w:start w:val="1"/>
      <w:numFmt w:val="decimal"/>
      <w:lvlText w:val="4.%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7">
    <w:nsid w:val="6D4E0AC7"/>
    <w:multiLevelType w:val="multilevel"/>
    <w:tmpl w:val="6D4E0AC7"/>
    <w:lvl w:ilvl="0" w:tentative="0">
      <w:start w:val="1"/>
      <w:numFmt w:val="lowerRoman"/>
      <w:lvlText w:val="(%1)"/>
      <w:lvlJc w:val="left"/>
      <w:pPr>
        <w:tabs>
          <w:tab w:val="left" w:pos="1440"/>
        </w:tabs>
        <w:ind w:left="1440" w:hanging="360"/>
      </w:pPr>
      <w:rPr>
        <w:rFonts w:hint="default" w:ascii="Calibri" w:hAnsi="Calibri"/>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8">
    <w:nsid w:val="6D7564F7"/>
    <w:multiLevelType w:val="multilevel"/>
    <w:tmpl w:val="6D7564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6D8009E8"/>
    <w:multiLevelType w:val="multilevel"/>
    <w:tmpl w:val="6D8009E8"/>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6DF511C5"/>
    <w:multiLevelType w:val="multilevel"/>
    <w:tmpl w:val="6DF511C5"/>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1">
    <w:nsid w:val="6E155DB2"/>
    <w:multiLevelType w:val="multilevel"/>
    <w:tmpl w:val="6E155DB2"/>
    <w:lvl w:ilvl="0" w:tentative="0">
      <w:start w:val="1"/>
      <w:numFmt w:val="decimal"/>
      <w:lvlText w:val="38.%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2">
    <w:nsid w:val="6E464AA1"/>
    <w:multiLevelType w:val="multilevel"/>
    <w:tmpl w:val="6E464AA1"/>
    <w:lvl w:ilvl="0" w:tentative="0">
      <w:start w:val="1"/>
      <w:numFmt w:val="decimal"/>
      <w:lvlText w:val="40.%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3">
    <w:nsid w:val="6E8C3642"/>
    <w:multiLevelType w:val="multilevel"/>
    <w:tmpl w:val="6E8C3642"/>
    <w:lvl w:ilvl="0" w:tentative="0">
      <w:start w:val="1"/>
      <w:numFmt w:val="decimal"/>
      <w:lvlText w:val="%1."/>
      <w:lvlJc w:val="left"/>
      <w:pPr>
        <w:ind w:left="720" w:hanging="360"/>
      </w:pPr>
      <w:rPr>
        <w:rFonts w:hint="default"/>
        <w:b w:val="0"/>
        <w:i w:val="0"/>
        <w:color w:val="auto"/>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4">
    <w:nsid w:val="6E8C487F"/>
    <w:multiLevelType w:val="multilevel"/>
    <w:tmpl w:val="6E8C487F"/>
    <w:lvl w:ilvl="0" w:tentative="0">
      <w:start w:val="1"/>
      <w:numFmt w:val="decimal"/>
      <w:lvlText w:val="7.%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5">
    <w:nsid w:val="6F1C61C3"/>
    <w:multiLevelType w:val="multilevel"/>
    <w:tmpl w:val="6F1C61C3"/>
    <w:lvl w:ilvl="0" w:tentative="0">
      <w:start w:val="1"/>
      <w:numFmt w:val="lowerRoman"/>
      <w:lvlText w:val="(%1)"/>
      <w:lvlJc w:val="left"/>
      <w:pPr>
        <w:ind w:left="1440" w:hanging="72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66">
    <w:nsid w:val="6F4925D5"/>
    <w:multiLevelType w:val="multilevel"/>
    <w:tmpl w:val="6F4925D5"/>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7">
    <w:nsid w:val="703604CC"/>
    <w:multiLevelType w:val="multilevel"/>
    <w:tmpl w:val="703604CC"/>
    <w:lvl w:ilvl="0" w:tentative="0">
      <w:start w:val="1"/>
      <w:numFmt w:val="decimal"/>
      <w:lvlText w:val="17.%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8">
    <w:nsid w:val="704313D1"/>
    <w:multiLevelType w:val="multilevel"/>
    <w:tmpl w:val="704313D1"/>
    <w:lvl w:ilvl="0" w:tentative="0">
      <w:start w:val="1"/>
      <w:numFmt w:val="decimal"/>
      <w:lvlText w:val="41.%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9">
    <w:nsid w:val="7053696C"/>
    <w:multiLevelType w:val="multilevel"/>
    <w:tmpl w:val="7053696C"/>
    <w:lvl w:ilvl="0" w:tentative="0">
      <w:start w:val="1"/>
      <w:numFmt w:val="lowerRoman"/>
      <w:lvlText w:val="(%1)"/>
      <w:lvlJc w:val="left"/>
      <w:pPr>
        <w:tabs>
          <w:tab w:val="left" w:pos="1440"/>
        </w:tabs>
        <w:ind w:left="1440" w:hanging="360"/>
      </w:pPr>
      <w:rPr>
        <w:rFonts w:hint="default" w:ascii="Calibri" w:hAnsi="Calibri"/>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0">
    <w:nsid w:val="719F211B"/>
    <w:multiLevelType w:val="multilevel"/>
    <w:tmpl w:val="719F211B"/>
    <w:lvl w:ilvl="0" w:tentative="0">
      <w:start w:val="1"/>
      <w:numFmt w:val="decimal"/>
      <w:lvlText w:val="26.%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1">
    <w:nsid w:val="7254517A"/>
    <w:multiLevelType w:val="multilevel"/>
    <w:tmpl w:val="7254517A"/>
    <w:lvl w:ilvl="0" w:tentative="0">
      <w:start w:val="1"/>
      <w:numFmt w:val="decimal"/>
      <w:lvlText w:val="%1."/>
      <w:lvlJc w:val="left"/>
      <w:pPr>
        <w:ind w:left="720" w:hanging="360"/>
      </w:pPr>
      <w:rPr>
        <w:rFonts w:hint="default"/>
        <w:b w:val="0"/>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2">
    <w:nsid w:val="75336BE8"/>
    <w:multiLevelType w:val="multilevel"/>
    <w:tmpl w:val="75336BE8"/>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3">
    <w:nsid w:val="75A3341F"/>
    <w:multiLevelType w:val="multilevel"/>
    <w:tmpl w:val="75A3341F"/>
    <w:lvl w:ilvl="0" w:tentative="0">
      <w:start w:val="1"/>
      <w:numFmt w:val="decimal"/>
      <w:lvlText w:val="9.%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4">
    <w:nsid w:val="75A86FAC"/>
    <w:multiLevelType w:val="multilevel"/>
    <w:tmpl w:val="75A86FAC"/>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5">
    <w:nsid w:val="760D3151"/>
    <w:multiLevelType w:val="multilevel"/>
    <w:tmpl w:val="760D3151"/>
    <w:lvl w:ilvl="0" w:tentative="0">
      <w:start w:val="1"/>
      <w:numFmt w:val="decimal"/>
      <w:lvlText w:val="14.%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6">
    <w:nsid w:val="76AB45CC"/>
    <w:multiLevelType w:val="multilevel"/>
    <w:tmpl w:val="76AB45CC"/>
    <w:lvl w:ilvl="0" w:tentative="0">
      <w:start w:val="1"/>
      <w:numFmt w:val="lowerLetter"/>
      <w:lvlText w:val="(%1)"/>
      <w:lvlJc w:val="left"/>
      <w:pPr>
        <w:ind w:left="1800" w:hanging="360"/>
      </w:pPr>
      <w:rPr>
        <w:rFonts w:hint="default"/>
        <w:b w:val="0"/>
        <w:color w:val="auto"/>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177">
    <w:nsid w:val="784675FD"/>
    <w:multiLevelType w:val="multilevel"/>
    <w:tmpl w:val="784675FD"/>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8">
    <w:nsid w:val="78FC27AB"/>
    <w:multiLevelType w:val="multilevel"/>
    <w:tmpl w:val="78FC27AB"/>
    <w:lvl w:ilvl="0" w:tentative="0">
      <w:start w:val="1"/>
      <w:numFmt w:val="decimal"/>
      <w:lvlText w:val="3.%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9">
    <w:nsid w:val="795213CC"/>
    <w:multiLevelType w:val="multilevel"/>
    <w:tmpl w:val="795213CC"/>
    <w:lvl w:ilvl="0" w:tentative="0">
      <w:start w:val="1"/>
      <w:numFmt w:val="lowerLetter"/>
      <w:lvlText w:val="%1)"/>
      <w:lvlJc w:val="left"/>
      <w:pPr>
        <w:ind w:left="360" w:hanging="360"/>
      </w:pPr>
      <w:rPr>
        <w:rFonts w:hint="default"/>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0">
    <w:nsid w:val="79661D01"/>
    <w:multiLevelType w:val="multilevel"/>
    <w:tmpl w:val="79661D01"/>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1">
    <w:nsid w:val="7A0F60E0"/>
    <w:multiLevelType w:val="multilevel"/>
    <w:tmpl w:val="7A0F60E0"/>
    <w:lvl w:ilvl="0" w:tentative="0">
      <w:start w:val="1"/>
      <w:numFmt w:val="lowerLetter"/>
      <w:lvlText w:val="(%1)"/>
      <w:lvlJc w:val="left"/>
      <w:pPr>
        <w:ind w:left="207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2">
    <w:nsid w:val="7B8E58BF"/>
    <w:multiLevelType w:val="multilevel"/>
    <w:tmpl w:val="7B8E58BF"/>
    <w:lvl w:ilvl="0" w:tentative="0">
      <w:start w:val="1"/>
      <w:numFmt w:val="decimal"/>
      <w:lvlText w:val="%1."/>
      <w:lvlJc w:val="left"/>
      <w:pPr>
        <w:ind w:left="720" w:hanging="360"/>
      </w:pPr>
      <w:rPr>
        <w:rFonts w:hint="default" w:ascii="Calibri" w:hAnsi="Calibr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3">
    <w:nsid w:val="7E303859"/>
    <w:multiLevelType w:val="multilevel"/>
    <w:tmpl w:val="7E303859"/>
    <w:lvl w:ilvl="0" w:tentative="0">
      <w:start w:val="1"/>
      <w:numFmt w:val="decimal"/>
      <w:lvlText w:val="27.%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4">
    <w:nsid w:val="7F2F7228"/>
    <w:multiLevelType w:val="multilevel"/>
    <w:tmpl w:val="7F2F7228"/>
    <w:lvl w:ilvl="0" w:tentative="0">
      <w:start w:val="1"/>
      <w:numFmt w:val="decimal"/>
      <w:lvlText w:val="29.%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88"/>
  </w:num>
  <w:num w:numId="2">
    <w:abstractNumId w:val="24"/>
  </w:num>
  <w:num w:numId="3">
    <w:abstractNumId w:val="130"/>
  </w:num>
  <w:num w:numId="4">
    <w:abstractNumId w:val="120"/>
  </w:num>
  <w:num w:numId="5">
    <w:abstractNumId w:val="28"/>
  </w:num>
  <w:num w:numId="6">
    <w:abstractNumId w:val="94"/>
  </w:num>
  <w:num w:numId="7">
    <w:abstractNumId w:val="101"/>
  </w:num>
  <w:num w:numId="8">
    <w:abstractNumId w:val="83"/>
  </w:num>
  <w:num w:numId="9">
    <w:abstractNumId w:val="27"/>
  </w:num>
  <w:num w:numId="10">
    <w:abstractNumId w:val="109"/>
  </w:num>
  <w:num w:numId="11">
    <w:abstractNumId w:val="39"/>
  </w:num>
  <w:num w:numId="12">
    <w:abstractNumId w:val="64"/>
  </w:num>
  <w:num w:numId="13">
    <w:abstractNumId w:val="32"/>
  </w:num>
  <w:num w:numId="14">
    <w:abstractNumId w:val="164"/>
  </w:num>
  <w:num w:numId="15">
    <w:abstractNumId w:val="51"/>
  </w:num>
  <w:num w:numId="16">
    <w:abstractNumId w:val="56"/>
  </w:num>
  <w:num w:numId="17">
    <w:abstractNumId w:val="30"/>
  </w:num>
  <w:num w:numId="18">
    <w:abstractNumId w:val="147"/>
  </w:num>
  <w:num w:numId="19">
    <w:abstractNumId w:val="174"/>
  </w:num>
  <w:num w:numId="20">
    <w:abstractNumId w:val="106"/>
  </w:num>
  <w:num w:numId="21">
    <w:abstractNumId w:val="11"/>
  </w:num>
  <w:num w:numId="22">
    <w:abstractNumId w:val="48"/>
  </w:num>
  <w:num w:numId="23">
    <w:abstractNumId w:val="166"/>
  </w:num>
  <w:num w:numId="24">
    <w:abstractNumId w:val="65"/>
  </w:num>
  <w:num w:numId="25">
    <w:abstractNumId w:val="35"/>
  </w:num>
  <w:num w:numId="26">
    <w:abstractNumId w:val="22"/>
  </w:num>
  <w:num w:numId="27">
    <w:abstractNumId w:val="17"/>
  </w:num>
  <w:num w:numId="28">
    <w:abstractNumId w:val="6"/>
  </w:num>
  <w:num w:numId="29">
    <w:abstractNumId w:val="143"/>
  </w:num>
  <w:num w:numId="30">
    <w:abstractNumId w:val="167"/>
  </w:num>
  <w:num w:numId="31">
    <w:abstractNumId w:val="142"/>
  </w:num>
  <w:num w:numId="32">
    <w:abstractNumId w:val="119"/>
  </w:num>
  <w:num w:numId="33">
    <w:abstractNumId w:val="135"/>
  </w:num>
  <w:num w:numId="34">
    <w:abstractNumId w:val="110"/>
  </w:num>
  <w:num w:numId="35">
    <w:abstractNumId w:val="126"/>
  </w:num>
  <w:num w:numId="36">
    <w:abstractNumId w:val="140"/>
  </w:num>
  <w:num w:numId="37">
    <w:abstractNumId w:val="3"/>
  </w:num>
  <w:num w:numId="38">
    <w:abstractNumId w:val="7"/>
  </w:num>
  <w:num w:numId="39">
    <w:abstractNumId w:val="160"/>
  </w:num>
  <w:num w:numId="40">
    <w:abstractNumId w:val="138"/>
  </w:num>
  <w:num w:numId="41">
    <w:abstractNumId w:val="63"/>
  </w:num>
  <w:num w:numId="42">
    <w:abstractNumId w:val="177"/>
  </w:num>
  <w:num w:numId="43">
    <w:abstractNumId w:val="159"/>
  </w:num>
  <w:num w:numId="44">
    <w:abstractNumId w:val="131"/>
  </w:num>
  <w:num w:numId="45">
    <w:abstractNumId w:val="81"/>
  </w:num>
  <w:num w:numId="46">
    <w:abstractNumId w:val="150"/>
  </w:num>
  <w:num w:numId="47">
    <w:abstractNumId w:val="68"/>
  </w:num>
  <w:num w:numId="48">
    <w:abstractNumId w:val="20"/>
  </w:num>
  <w:num w:numId="49">
    <w:abstractNumId w:val="136"/>
  </w:num>
  <w:num w:numId="50">
    <w:abstractNumId w:val="5"/>
  </w:num>
  <w:num w:numId="51">
    <w:abstractNumId w:val="89"/>
  </w:num>
  <w:num w:numId="52">
    <w:abstractNumId w:val="18"/>
  </w:num>
  <w:num w:numId="53">
    <w:abstractNumId w:val="85"/>
  </w:num>
  <w:num w:numId="54">
    <w:abstractNumId w:val="172"/>
  </w:num>
  <w:num w:numId="55">
    <w:abstractNumId w:val="121"/>
  </w:num>
  <w:num w:numId="56">
    <w:abstractNumId w:val="134"/>
  </w:num>
  <w:num w:numId="57">
    <w:abstractNumId w:val="61"/>
  </w:num>
  <w:num w:numId="58">
    <w:abstractNumId w:val="25"/>
  </w:num>
  <w:num w:numId="59">
    <w:abstractNumId w:val="38"/>
  </w:num>
  <w:num w:numId="60">
    <w:abstractNumId w:val="0"/>
  </w:num>
  <w:num w:numId="61">
    <w:abstractNumId w:val="41"/>
  </w:num>
  <w:num w:numId="62">
    <w:abstractNumId w:val="45"/>
  </w:num>
  <w:num w:numId="63">
    <w:abstractNumId w:val="148"/>
  </w:num>
  <w:num w:numId="64">
    <w:abstractNumId w:val="161"/>
  </w:num>
  <w:num w:numId="65">
    <w:abstractNumId w:val="67"/>
  </w:num>
  <w:num w:numId="66">
    <w:abstractNumId w:val="162"/>
  </w:num>
  <w:num w:numId="67">
    <w:abstractNumId w:val="168"/>
  </w:num>
  <w:num w:numId="68">
    <w:abstractNumId w:val="13"/>
  </w:num>
  <w:num w:numId="69">
    <w:abstractNumId w:val="55"/>
  </w:num>
  <w:num w:numId="70">
    <w:abstractNumId w:val="86"/>
  </w:num>
  <w:num w:numId="71">
    <w:abstractNumId w:val="43"/>
  </w:num>
  <w:num w:numId="72">
    <w:abstractNumId w:val="179"/>
  </w:num>
  <w:num w:numId="73">
    <w:abstractNumId w:val="146"/>
  </w:num>
  <w:num w:numId="74">
    <w:abstractNumId w:val="93"/>
  </w:num>
  <w:num w:numId="75">
    <w:abstractNumId w:val="182"/>
  </w:num>
  <w:num w:numId="76">
    <w:abstractNumId w:val="137"/>
  </w:num>
  <w:num w:numId="77">
    <w:abstractNumId w:val="127"/>
  </w:num>
  <w:num w:numId="78">
    <w:abstractNumId w:val="12"/>
  </w:num>
  <w:num w:numId="79">
    <w:abstractNumId w:val="82"/>
  </w:num>
  <w:num w:numId="80">
    <w:abstractNumId w:val="116"/>
  </w:num>
  <w:num w:numId="81">
    <w:abstractNumId w:val="152"/>
  </w:num>
  <w:num w:numId="82">
    <w:abstractNumId w:val="78"/>
  </w:num>
  <w:num w:numId="83">
    <w:abstractNumId w:val="19"/>
  </w:num>
  <w:num w:numId="84">
    <w:abstractNumId w:val="112"/>
  </w:num>
  <w:num w:numId="85">
    <w:abstractNumId w:val="87"/>
  </w:num>
  <w:num w:numId="86">
    <w:abstractNumId w:val="54"/>
  </w:num>
  <w:num w:numId="87">
    <w:abstractNumId w:val="158"/>
  </w:num>
  <w:num w:numId="88">
    <w:abstractNumId w:val="139"/>
  </w:num>
  <w:num w:numId="89">
    <w:abstractNumId w:val="16"/>
  </w:num>
  <w:num w:numId="90">
    <w:abstractNumId w:val="66"/>
  </w:num>
  <w:num w:numId="91">
    <w:abstractNumId w:val="151"/>
  </w:num>
  <w:num w:numId="92">
    <w:abstractNumId w:val="171"/>
  </w:num>
  <w:num w:numId="93">
    <w:abstractNumId w:val="176"/>
  </w:num>
  <w:num w:numId="94">
    <w:abstractNumId w:val="105"/>
  </w:num>
  <w:num w:numId="95">
    <w:abstractNumId w:val="10"/>
  </w:num>
  <w:num w:numId="96">
    <w:abstractNumId w:val="99"/>
  </w:num>
  <w:num w:numId="97">
    <w:abstractNumId w:val="42"/>
  </w:num>
  <w:num w:numId="98">
    <w:abstractNumId w:val="57"/>
  </w:num>
  <w:num w:numId="99">
    <w:abstractNumId w:val="96"/>
  </w:num>
  <w:num w:numId="10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0"/>
  </w:num>
  <w:num w:numId="102">
    <w:abstractNumId w:val="155"/>
  </w:num>
  <w:num w:numId="103">
    <w:abstractNumId w:val="125"/>
  </w:num>
  <w:num w:numId="104">
    <w:abstractNumId w:val="14"/>
  </w:num>
  <w:num w:numId="105">
    <w:abstractNumId w:val="36"/>
  </w:num>
  <w:num w:numId="106">
    <w:abstractNumId w:val="80"/>
  </w:num>
  <w:num w:numId="107">
    <w:abstractNumId w:val="73"/>
  </w:num>
  <w:num w:numId="108">
    <w:abstractNumId w:val="44"/>
  </w:num>
  <w:num w:numId="109">
    <w:abstractNumId w:val="141"/>
  </w:num>
  <w:num w:numId="110">
    <w:abstractNumId w:val="122"/>
  </w:num>
  <w:num w:numId="111">
    <w:abstractNumId w:val="46"/>
  </w:num>
  <w:num w:numId="112">
    <w:abstractNumId w:val="117"/>
  </w:num>
  <w:num w:numId="113">
    <w:abstractNumId w:val="31"/>
  </w:num>
  <w:num w:numId="114">
    <w:abstractNumId w:val="4"/>
  </w:num>
  <w:num w:numId="115">
    <w:abstractNumId w:val="124"/>
  </w:num>
  <w:num w:numId="11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4"/>
  </w:num>
  <w:num w:numId="118">
    <w:abstractNumId w:val="108"/>
  </w:num>
  <w:num w:numId="119">
    <w:abstractNumId w:val="74"/>
  </w:num>
  <w:num w:numId="120">
    <w:abstractNumId w:val="129"/>
  </w:num>
  <w:num w:numId="121">
    <w:abstractNumId w:val="103"/>
  </w:num>
  <w:num w:numId="122">
    <w:abstractNumId w:val="178"/>
  </w:num>
  <w:num w:numId="123">
    <w:abstractNumId w:val="156"/>
  </w:num>
  <w:num w:numId="124">
    <w:abstractNumId w:val="58"/>
  </w:num>
  <w:num w:numId="125">
    <w:abstractNumId w:val="153"/>
  </w:num>
  <w:num w:numId="126">
    <w:abstractNumId w:val="1"/>
  </w:num>
  <w:num w:numId="127">
    <w:abstractNumId w:val="118"/>
  </w:num>
  <w:num w:numId="128">
    <w:abstractNumId w:val="76"/>
  </w:num>
  <w:num w:numId="129">
    <w:abstractNumId w:val="180"/>
  </w:num>
  <w:num w:numId="130">
    <w:abstractNumId w:val="123"/>
  </w:num>
  <w:num w:numId="131">
    <w:abstractNumId w:val="169"/>
  </w:num>
  <w:num w:numId="132">
    <w:abstractNumId w:val="34"/>
  </w:num>
  <w:num w:numId="133">
    <w:abstractNumId w:val="173"/>
  </w:num>
  <w:num w:numId="134">
    <w:abstractNumId w:val="107"/>
  </w:num>
  <w:num w:numId="135">
    <w:abstractNumId w:val="128"/>
  </w:num>
  <w:num w:numId="136">
    <w:abstractNumId w:val="84"/>
  </w:num>
  <w:num w:numId="137">
    <w:abstractNumId w:val="37"/>
  </w:num>
  <w:num w:numId="138">
    <w:abstractNumId w:val="29"/>
  </w:num>
  <w:num w:numId="139">
    <w:abstractNumId w:val="175"/>
  </w:num>
  <w:num w:numId="140">
    <w:abstractNumId w:val="104"/>
  </w:num>
  <w:num w:numId="141">
    <w:abstractNumId w:val="114"/>
  </w:num>
  <w:num w:numId="142">
    <w:abstractNumId w:val="115"/>
  </w:num>
  <w:num w:numId="143">
    <w:abstractNumId w:val="102"/>
  </w:num>
  <w:num w:numId="144">
    <w:abstractNumId w:val="40"/>
  </w:num>
  <w:num w:numId="145">
    <w:abstractNumId w:val="53"/>
  </w:num>
  <w:num w:numId="146">
    <w:abstractNumId w:val="70"/>
  </w:num>
  <w:num w:numId="147">
    <w:abstractNumId w:val="15"/>
  </w:num>
  <w:num w:numId="148">
    <w:abstractNumId w:val="113"/>
  </w:num>
  <w:num w:numId="149">
    <w:abstractNumId w:val="60"/>
  </w:num>
  <w:num w:numId="150">
    <w:abstractNumId w:val="92"/>
  </w:num>
  <w:num w:numId="151">
    <w:abstractNumId w:val="49"/>
  </w:num>
  <w:num w:numId="152">
    <w:abstractNumId w:val="69"/>
  </w:num>
  <w:num w:numId="153">
    <w:abstractNumId w:val="170"/>
  </w:num>
  <w:num w:numId="154">
    <w:abstractNumId w:val="183"/>
  </w:num>
  <w:num w:numId="155">
    <w:abstractNumId w:val="52"/>
  </w:num>
  <w:num w:numId="156">
    <w:abstractNumId w:val="184"/>
  </w:num>
  <w:num w:numId="157">
    <w:abstractNumId w:val="62"/>
  </w:num>
  <w:num w:numId="158">
    <w:abstractNumId w:val="72"/>
  </w:num>
  <w:num w:numId="159">
    <w:abstractNumId w:val="100"/>
  </w:num>
  <w:num w:numId="160">
    <w:abstractNumId w:val="47"/>
  </w:num>
  <w:num w:numId="161">
    <w:abstractNumId w:val="23"/>
  </w:num>
  <w:num w:numId="162">
    <w:abstractNumId w:val="21"/>
  </w:num>
  <w:num w:numId="163">
    <w:abstractNumId w:val="50"/>
  </w:num>
  <w:num w:numId="164">
    <w:abstractNumId w:val="71"/>
  </w:num>
  <w:num w:numId="165">
    <w:abstractNumId w:val="2"/>
  </w:num>
  <w:num w:numId="166">
    <w:abstractNumId w:val="181"/>
  </w:num>
  <w:num w:numId="167">
    <w:abstractNumId w:val="157"/>
  </w:num>
  <w:num w:numId="168">
    <w:abstractNumId w:val="75"/>
  </w:num>
  <w:num w:numId="169">
    <w:abstractNumId w:val="33"/>
  </w:num>
  <w:num w:numId="170">
    <w:abstractNumId w:val="95"/>
  </w:num>
  <w:num w:numId="171">
    <w:abstractNumId w:val="145"/>
  </w:num>
  <w:num w:numId="172">
    <w:abstractNumId w:val="91"/>
  </w:num>
  <w:num w:numId="173">
    <w:abstractNumId w:val="59"/>
  </w:num>
  <w:num w:numId="174">
    <w:abstractNumId w:val="9"/>
  </w:num>
  <w:num w:numId="175">
    <w:abstractNumId w:val="133"/>
  </w:num>
  <w:num w:numId="176">
    <w:abstractNumId w:val="132"/>
  </w:num>
  <w:num w:numId="177">
    <w:abstractNumId w:val="79"/>
  </w:num>
  <w:num w:numId="178">
    <w:abstractNumId w:val="149"/>
  </w:num>
  <w:num w:numId="179">
    <w:abstractNumId w:val="98"/>
  </w:num>
  <w:num w:numId="180">
    <w:abstractNumId w:val="77"/>
  </w:num>
  <w:num w:numId="181">
    <w:abstractNumId w:val="8"/>
  </w:num>
  <w:num w:numId="182">
    <w:abstractNumId w:val="26"/>
  </w:num>
  <w:num w:numId="183">
    <w:abstractNumId w:val="163"/>
  </w:num>
  <w:num w:numId="184">
    <w:abstractNumId w:val="97"/>
  </w:num>
  <w:num w:numId="185">
    <w:abstractNumId w:val="111"/>
  </w:num>
  <w:num w:numId="18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cumentProtection w:enforcement="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471"/>
    <w:rsid w:val="00001C46"/>
    <w:rsid w:val="00002B5E"/>
    <w:rsid w:val="00003F62"/>
    <w:rsid w:val="00004095"/>
    <w:rsid w:val="000045D9"/>
    <w:rsid w:val="00004EAA"/>
    <w:rsid w:val="00006D2C"/>
    <w:rsid w:val="0001093B"/>
    <w:rsid w:val="00011CA9"/>
    <w:rsid w:val="000130A7"/>
    <w:rsid w:val="00015937"/>
    <w:rsid w:val="00015A50"/>
    <w:rsid w:val="000160D3"/>
    <w:rsid w:val="00021804"/>
    <w:rsid w:val="00023C85"/>
    <w:rsid w:val="0002433D"/>
    <w:rsid w:val="000313A6"/>
    <w:rsid w:val="00032AB8"/>
    <w:rsid w:val="00032F97"/>
    <w:rsid w:val="00033144"/>
    <w:rsid w:val="00034BED"/>
    <w:rsid w:val="000358A1"/>
    <w:rsid w:val="0003657C"/>
    <w:rsid w:val="000365F8"/>
    <w:rsid w:val="0003719E"/>
    <w:rsid w:val="00042009"/>
    <w:rsid w:val="000420C4"/>
    <w:rsid w:val="00044E58"/>
    <w:rsid w:val="00045666"/>
    <w:rsid w:val="00046C0C"/>
    <w:rsid w:val="00046D61"/>
    <w:rsid w:val="00050A5C"/>
    <w:rsid w:val="00052F9C"/>
    <w:rsid w:val="00055CB7"/>
    <w:rsid w:val="00056A97"/>
    <w:rsid w:val="00061FA1"/>
    <w:rsid w:val="000627B9"/>
    <w:rsid w:val="00063816"/>
    <w:rsid w:val="00067CCD"/>
    <w:rsid w:val="0007235F"/>
    <w:rsid w:val="0007315E"/>
    <w:rsid w:val="00074333"/>
    <w:rsid w:val="00075311"/>
    <w:rsid w:val="0007692C"/>
    <w:rsid w:val="00077A47"/>
    <w:rsid w:val="00081381"/>
    <w:rsid w:val="0008439D"/>
    <w:rsid w:val="000858A3"/>
    <w:rsid w:val="00090629"/>
    <w:rsid w:val="00090E3B"/>
    <w:rsid w:val="00091236"/>
    <w:rsid w:val="000959C8"/>
    <w:rsid w:val="00097734"/>
    <w:rsid w:val="00097C03"/>
    <w:rsid w:val="000A110A"/>
    <w:rsid w:val="000A19AD"/>
    <w:rsid w:val="000A1D30"/>
    <w:rsid w:val="000A30C2"/>
    <w:rsid w:val="000A4863"/>
    <w:rsid w:val="000A4D64"/>
    <w:rsid w:val="000A5907"/>
    <w:rsid w:val="000A7276"/>
    <w:rsid w:val="000A7351"/>
    <w:rsid w:val="000B12A1"/>
    <w:rsid w:val="000B1839"/>
    <w:rsid w:val="000B315C"/>
    <w:rsid w:val="000B43D5"/>
    <w:rsid w:val="000B74EB"/>
    <w:rsid w:val="000B7A2F"/>
    <w:rsid w:val="000C0820"/>
    <w:rsid w:val="000C2F5F"/>
    <w:rsid w:val="000C46E2"/>
    <w:rsid w:val="000C6963"/>
    <w:rsid w:val="000D0BE4"/>
    <w:rsid w:val="000D0F6E"/>
    <w:rsid w:val="000D0FD4"/>
    <w:rsid w:val="000D18D4"/>
    <w:rsid w:val="000D2F53"/>
    <w:rsid w:val="000D61BB"/>
    <w:rsid w:val="000D7385"/>
    <w:rsid w:val="000E03F8"/>
    <w:rsid w:val="000E1F4F"/>
    <w:rsid w:val="000E2677"/>
    <w:rsid w:val="000E29E0"/>
    <w:rsid w:val="000E30FE"/>
    <w:rsid w:val="000E34A1"/>
    <w:rsid w:val="000E46CB"/>
    <w:rsid w:val="000E51BF"/>
    <w:rsid w:val="000E6E4F"/>
    <w:rsid w:val="000E6ED2"/>
    <w:rsid w:val="000E74FE"/>
    <w:rsid w:val="000E76BE"/>
    <w:rsid w:val="000E77AE"/>
    <w:rsid w:val="000F0118"/>
    <w:rsid w:val="000F206D"/>
    <w:rsid w:val="000F22F3"/>
    <w:rsid w:val="000F26CC"/>
    <w:rsid w:val="000F30C7"/>
    <w:rsid w:val="000F361B"/>
    <w:rsid w:val="000F3DB8"/>
    <w:rsid w:val="000F5144"/>
    <w:rsid w:val="000F5B3F"/>
    <w:rsid w:val="000F6196"/>
    <w:rsid w:val="000F7DCD"/>
    <w:rsid w:val="001002D9"/>
    <w:rsid w:val="00105127"/>
    <w:rsid w:val="00107332"/>
    <w:rsid w:val="0010751F"/>
    <w:rsid w:val="00107567"/>
    <w:rsid w:val="00110B9A"/>
    <w:rsid w:val="00111D04"/>
    <w:rsid w:val="00112586"/>
    <w:rsid w:val="00112EF9"/>
    <w:rsid w:val="00113781"/>
    <w:rsid w:val="0011428C"/>
    <w:rsid w:val="00114D54"/>
    <w:rsid w:val="00115CA2"/>
    <w:rsid w:val="00115CE9"/>
    <w:rsid w:val="001170DC"/>
    <w:rsid w:val="00117299"/>
    <w:rsid w:val="00117BBA"/>
    <w:rsid w:val="00117E6E"/>
    <w:rsid w:val="00121B8D"/>
    <w:rsid w:val="00123D80"/>
    <w:rsid w:val="0012434C"/>
    <w:rsid w:val="00125030"/>
    <w:rsid w:val="0012577E"/>
    <w:rsid w:val="00130251"/>
    <w:rsid w:val="00130A73"/>
    <w:rsid w:val="00132E82"/>
    <w:rsid w:val="0013362E"/>
    <w:rsid w:val="001353ED"/>
    <w:rsid w:val="00141116"/>
    <w:rsid w:val="001412C9"/>
    <w:rsid w:val="00142486"/>
    <w:rsid w:val="00143BF1"/>
    <w:rsid w:val="0014790C"/>
    <w:rsid w:val="001506AB"/>
    <w:rsid w:val="00150821"/>
    <w:rsid w:val="00151000"/>
    <w:rsid w:val="001520AE"/>
    <w:rsid w:val="00152942"/>
    <w:rsid w:val="0015425D"/>
    <w:rsid w:val="00154416"/>
    <w:rsid w:val="00155F37"/>
    <w:rsid w:val="001562C6"/>
    <w:rsid w:val="0015654A"/>
    <w:rsid w:val="001575D1"/>
    <w:rsid w:val="00160A5B"/>
    <w:rsid w:val="001619B8"/>
    <w:rsid w:val="00161D0F"/>
    <w:rsid w:val="00164953"/>
    <w:rsid w:val="00164AC4"/>
    <w:rsid w:val="00166605"/>
    <w:rsid w:val="00166621"/>
    <w:rsid w:val="001675ED"/>
    <w:rsid w:val="0017051F"/>
    <w:rsid w:val="001719BF"/>
    <w:rsid w:val="00175D29"/>
    <w:rsid w:val="00177551"/>
    <w:rsid w:val="00177A52"/>
    <w:rsid w:val="00177FFA"/>
    <w:rsid w:val="00182DED"/>
    <w:rsid w:val="001847D2"/>
    <w:rsid w:val="001852CD"/>
    <w:rsid w:val="00185E51"/>
    <w:rsid w:val="00186099"/>
    <w:rsid w:val="001860B8"/>
    <w:rsid w:val="0018634C"/>
    <w:rsid w:val="00187559"/>
    <w:rsid w:val="00187992"/>
    <w:rsid w:val="0019098D"/>
    <w:rsid w:val="00191CCA"/>
    <w:rsid w:val="00191D67"/>
    <w:rsid w:val="00192359"/>
    <w:rsid w:val="00192EAC"/>
    <w:rsid w:val="0019324A"/>
    <w:rsid w:val="00194C18"/>
    <w:rsid w:val="00195425"/>
    <w:rsid w:val="00195B6D"/>
    <w:rsid w:val="00196949"/>
    <w:rsid w:val="00196FF4"/>
    <w:rsid w:val="001A0BBF"/>
    <w:rsid w:val="001A160A"/>
    <w:rsid w:val="001A168C"/>
    <w:rsid w:val="001A28B5"/>
    <w:rsid w:val="001A4F0E"/>
    <w:rsid w:val="001A55EF"/>
    <w:rsid w:val="001A5D60"/>
    <w:rsid w:val="001B10DC"/>
    <w:rsid w:val="001B2BA4"/>
    <w:rsid w:val="001B3B02"/>
    <w:rsid w:val="001B50BF"/>
    <w:rsid w:val="001B55B7"/>
    <w:rsid w:val="001B664E"/>
    <w:rsid w:val="001B7766"/>
    <w:rsid w:val="001B7E5B"/>
    <w:rsid w:val="001C108D"/>
    <w:rsid w:val="001C2EAF"/>
    <w:rsid w:val="001C4052"/>
    <w:rsid w:val="001C49FD"/>
    <w:rsid w:val="001C4CC8"/>
    <w:rsid w:val="001C5D3F"/>
    <w:rsid w:val="001D0330"/>
    <w:rsid w:val="001D108E"/>
    <w:rsid w:val="001D26EA"/>
    <w:rsid w:val="001D49A9"/>
    <w:rsid w:val="001D7205"/>
    <w:rsid w:val="001D7DE7"/>
    <w:rsid w:val="001E0CC8"/>
    <w:rsid w:val="001E1498"/>
    <w:rsid w:val="001E1A4C"/>
    <w:rsid w:val="001E73D8"/>
    <w:rsid w:val="001F1072"/>
    <w:rsid w:val="001F16A8"/>
    <w:rsid w:val="001F1A4C"/>
    <w:rsid w:val="001F4680"/>
    <w:rsid w:val="001F517D"/>
    <w:rsid w:val="002006DC"/>
    <w:rsid w:val="00200DEF"/>
    <w:rsid w:val="00201073"/>
    <w:rsid w:val="002055CC"/>
    <w:rsid w:val="00205893"/>
    <w:rsid w:val="00206041"/>
    <w:rsid w:val="002065D8"/>
    <w:rsid w:val="00210D5E"/>
    <w:rsid w:val="00211D50"/>
    <w:rsid w:val="00211F12"/>
    <w:rsid w:val="00213531"/>
    <w:rsid w:val="00213AC8"/>
    <w:rsid w:val="00215E50"/>
    <w:rsid w:val="00217207"/>
    <w:rsid w:val="00220C58"/>
    <w:rsid w:val="00221D8C"/>
    <w:rsid w:val="002235F2"/>
    <w:rsid w:val="00223D37"/>
    <w:rsid w:val="00224087"/>
    <w:rsid w:val="00224606"/>
    <w:rsid w:val="00225DFB"/>
    <w:rsid w:val="0022631E"/>
    <w:rsid w:val="0022649E"/>
    <w:rsid w:val="00227FC4"/>
    <w:rsid w:val="002304B9"/>
    <w:rsid w:val="00232295"/>
    <w:rsid w:val="00233F5D"/>
    <w:rsid w:val="00234C08"/>
    <w:rsid w:val="00241D9B"/>
    <w:rsid w:val="002427F4"/>
    <w:rsid w:val="002442F0"/>
    <w:rsid w:val="00244673"/>
    <w:rsid w:val="00246171"/>
    <w:rsid w:val="0024619A"/>
    <w:rsid w:val="002461B9"/>
    <w:rsid w:val="00246C30"/>
    <w:rsid w:val="00247463"/>
    <w:rsid w:val="002523B3"/>
    <w:rsid w:val="002531ED"/>
    <w:rsid w:val="00253FC6"/>
    <w:rsid w:val="00255217"/>
    <w:rsid w:val="00256C43"/>
    <w:rsid w:val="00257963"/>
    <w:rsid w:val="002606AE"/>
    <w:rsid w:val="00260CF1"/>
    <w:rsid w:val="002613A4"/>
    <w:rsid w:val="00263205"/>
    <w:rsid w:val="0026543B"/>
    <w:rsid w:val="00266AC5"/>
    <w:rsid w:val="00270A50"/>
    <w:rsid w:val="00270FAC"/>
    <w:rsid w:val="00271E6E"/>
    <w:rsid w:val="00272FC2"/>
    <w:rsid w:val="00274837"/>
    <w:rsid w:val="002754B2"/>
    <w:rsid w:val="002813B1"/>
    <w:rsid w:val="00282627"/>
    <w:rsid w:val="00283170"/>
    <w:rsid w:val="0028393F"/>
    <w:rsid w:val="0028416E"/>
    <w:rsid w:val="00284235"/>
    <w:rsid w:val="002849BA"/>
    <w:rsid w:val="00286A34"/>
    <w:rsid w:val="00286A3C"/>
    <w:rsid w:val="00286B1D"/>
    <w:rsid w:val="00286B68"/>
    <w:rsid w:val="00286C10"/>
    <w:rsid w:val="00291F91"/>
    <w:rsid w:val="002956EB"/>
    <w:rsid w:val="002A0773"/>
    <w:rsid w:val="002A0AFF"/>
    <w:rsid w:val="002A122D"/>
    <w:rsid w:val="002A2FB1"/>
    <w:rsid w:val="002A505A"/>
    <w:rsid w:val="002B0391"/>
    <w:rsid w:val="002B0C35"/>
    <w:rsid w:val="002B14CC"/>
    <w:rsid w:val="002B1F9F"/>
    <w:rsid w:val="002B2788"/>
    <w:rsid w:val="002B361A"/>
    <w:rsid w:val="002B3A90"/>
    <w:rsid w:val="002B4578"/>
    <w:rsid w:val="002B4AEC"/>
    <w:rsid w:val="002B5C58"/>
    <w:rsid w:val="002B6940"/>
    <w:rsid w:val="002B704D"/>
    <w:rsid w:val="002C039D"/>
    <w:rsid w:val="002C099D"/>
    <w:rsid w:val="002C41A5"/>
    <w:rsid w:val="002C44C0"/>
    <w:rsid w:val="002C5F14"/>
    <w:rsid w:val="002D08D4"/>
    <w:rsid w:val="002D172F"/>
    <w:rsid w:val="002D20DC"/>
    <w:rsid w:val="002D5BF5"/>
    <w:rsid w:val="002D5CB4"/>
    <w:rsid w:val="002D69FC"/>
    <w:rsid w:val="002E0AC2"/>
    <w:rsid w:val="002E0B74"/>
    <w:rsid w:val="002E4080"/>
    <w:rsid w:val="002E4940"/>
    <w:rsid w:val="002E51A7"/>
    <w:rsid w:val="002E5A71"/>
    <w:rsid w:val="002E7246"/>
    <w:rsid w:val="002F0619"/>
    <w:rsid w:val="002F3291"/>
    <w:rsid w:val="002F58BA"/>
    <w:rsid w:val="002F73E8"/>
    <w:rsid w:val="0030032A"/>
    <w:rsid w:val="003019FB"/>
    <w:rsid w:val="00301AB2"/>
    <w:rsid w:val="00302469"/>
    <w:rsid w:val="00302761"/>
    <w:rsid w:val="00302D1D"/>
    <w:rsid w:val="00304DB9"/>
    <w:rsid w:val="00304DF6"/>
    <w:rsid w:val="00305D95"/>
    <w:rsid w:val="0031015C"/>
    <w:rsid w:val="0031173C"/>
    <w:rsid w:val="0031220B"/>
    <w:rsid w:val="003206C0"/>
    <w:rsid w:val="003220D9"/>
    <w:rsid w:val="00323CBD"/>
    <w:rsid w:val="00324BA6"/>
    <w:rsid w:val="00325C91"/>
    <w:rsid w:val="003263DB"/>
    <w:rsid w:val="00326C1C"/>
    <w:rsid w:val="00326F8F"/>
    <w:rsid w:val="0032707A"/>
    <w:rsid w:val="003276AD"/>
    <w:rsid w:val="0033135A"/>
    <w:rsid w:val="003314D6"/>
    <w:rsid w:val="003324F7"/>
    <w:rsid w:val="00337C05"/>
    <w:rsid w:val="0034200E"/>
    <w:rsid w:val="00343EA8"/>
    <w:rsid w:val="00345331"/>
    <w:rsid w:val="0034787F"/>
    <w:rsid w:val="0035234D"/>
    <w:rsid w:val="00352F9F"/>
    <w:rsid w:val="00353660"/>
    <w:rsid w:val="00354102"/>
    <w:rsid w:val="003544E1"/>
    <w:rsid w:val="00355BF0"/>
    <w:rsid w:val="00355C68"/>
    <w:rsid w:val="00355EF7"/>
    <w:rsid w:val="00356E4C"/>
    <w:rsid w:val="00357B39"/>
    <w:rsid w:val="00360D2E"/>
    <w:rsid w:val="00361C50"/>
    <w:rsid w:val="003631D9"/>
    <w:rsid w:val="0036354F"/>
    <w:rsid w:val="00371091"/>
    <w:rsid w:val="00374332"/>
    <w:rsid w:val="00375573"/>
    <w:rsid w:val="00382069"/>
    <w:rsid w:val="00382EF1"/>
    <w:rsid w:val="003830BF"/>
    <w:rsid w:val="00383697"/>
    <w:rsid w:val="0038672B"/>
    <w:rsid w:val="00386FE0"/>
    <w:rsid w:val="003901F3"/>
    <w:rsid w:val="003904E9"/>
    <w:rsid w:val="00390DBB"/>
    <w:rsid w:val="00392437"/>
    <w:rsid w:val="003929B3"/>
    <w:rsid w:val="00393144"/>
    <w:rsid w:val="0039345B"/>
    <w:rsid w:val="0039367D"/>
    <w:rsid w:val="00395C7B"/>
    <w:rsid w:val="00396812"/>
    <w:rsid w:val="0039740B"/>
    <w:rsid w:val="003A097B"/>
    <w:rsid w:val="003A0B81"/>
    <w:rsid w:val="003A25B1"/>
    <w:rsid w:val="003A2649"/>
    <w:rsid w:val="003A6554"/>
    <w:rsid w:val="003A7484"/>
    <w:rsid w:val="003B148D"/>
    <w:rsid w:val="003B7176"/>
    <w:rsid w:val="003C1C87"/>
    <w:rsid w:val="003C3B1E"/>
    <w:rsid w:val="003C4769"/>
    <w:rsid w:val="003C7111"/>
    <w:rsid w:val="003C7E3E"/>
    <w:rsid w:val="003D127C"/>
    <w:rsid w:val="003D2534"/>
    <w:rsid w:val="003D38DC"/>
    <w:rsid w:val="003D7081"/>
    <w:rsid w:val="003D74D6"/>
    <w:rsid w:val="003E0452"/>
    <w:rsid w:val="003E10B0"/>
    <w:rsid w:val="003E1449"/>
    <w:rsid w:val="003E1565"/>
    <w:rsid w:val="003E1A47"/>
    <w:rsid w:val="003E1C19"/>
    <w:rsid w:val="003E1C4B"/>
    <w:rsid w:val="003E2728"/>
    <w:rsid w:val="003E32C5"/>
    <w:rsid w:val="003E583C"/>
    <w:rsid w:val="003E7B43"/>
    <w:rsid w:val="003F0157"/>
    <w:rsid w:val="003F09C7"/>
    <w:rsid w:val="003F1511"/>
    <w:rsid w:val="003F3A66"/>
    <w:rsid w:val="003F3D1F"/>
    <w:rsid w:val="003F4119"/>
    <w:rsid w:val="003F4EE5"/>
    <w:rsid w:val="003F6682"/>
    <w:rsid w:val="00400097"/>
    <w:rsid w:val="00400756"/>
    <w:rsid w:val="00400819"/>
    <w:rsid w:val="004022FD"/>
    <w:rsid w:val="00403B37"/>
    <w:rsid w:val="004052A1"/>
    <w:rsid w:val="004069EE"/>
    <w:rsid w:val="004130D3"/>
    <w:rsid w:val="004132EF"/>
    <w:rsid w:val="00415A71"/>
    <w:rsid w:val="00415B46"/>
    <w:rsid w:val="00415DE5"/>
    <w:rsid w:val="00416557"/>
    <w:rsid w:val="0042051C"/>
    <w:rsid w:val="004221E4"/>
    <w:rsid w:val="004249BE"/>
    <w:rsid w:val="00427035"/>
    <w:rsid w:val="00427BD2"/>
    <w:rsid w:val="004320E2"/>
    <w:rsid w:val="00440D02"/>
    <w:rsid w:val="00442E43"/>
    <w:rsid w:val="00443A34"/>
    <w:rsid w:val="00446B67"/>
    <w:rsid w:val="00447492"/>
    <w:rsid w:val="00451583"/>
    <w:rsid w:val="0045158B"/>
    <w:rsid w:val="0045374C"/>
    <w:rsid w:val="004547B0"/>
    <w:rsid w:val="00456F9B"/>
    <w:rsid w:val="004577B7"/>
    <w:rsid w:val="00460FC9"/>
    <w:rsid w:val="004619A6"/>
    <w:rsid w:val="00463D16"/>
    <w:rsid w:val="00463E61"/>
    <w:rsid w:val="00465610"/>
    <w:rsid w:val="00465E46"/>
    <w:rsid w:val="0046625B"/>
    <w:rsid w:val="004673B0"/>
    <w:rsid w:val="004676A8"/>
    <w:rsid w:val="004676F7"/>
    <w:rsid w:val="00467F54"/>
    <w:rsid w:val="0047264C"/>
    <w:rsid w:val="00472E37"/>
    <w:rsid w:val="004753E2"/>
    <w:rsid w:val="004766DD"/>
    <w:rsid w:val="00482F3F"/>
    <w:rsid w:val="0048325E"/>
    <w:rsid w:val="004845FE"/>
    <w:rsid w:val="004847CE"/>
    <w:rsid w:val="00484FD1"/>
    <w:rsid w:val="00486BFE"/>
    <w:rsid w:val="00487A39"/>
    <w:rsid w:val="0049287B"/>
    <w:rsid w:val="0049707D"/>
    <w:rsid w:val="004A02EC"/>
    <w:rsid w:val="004A18DC"/>
    <w:rsid w:val="004A1B06"/>
    <w:rsid w:val="004A2258"/>
    <w:rsid w:val="004A2BBE"/>
    <w:rsid w:val="004A327F"/>
    <w:rsid w:val="004A41A0"/>
    <w:rsid w:val="004A645E"/>
    <w:rsid w:val="004A7825"/>
    <w:rsid w:val="004B1430"/>
    <w:rsid w:val="004B33E6"/>
    <w:rsid w:val="004B3D49"/>
    <w:rsid w:val="004B48A3"/>
    <w:rsid w:val="004B48D5"/>
    <w:rsid w:val="004B4926"/>
    <w:rsid w:val="004B514D"/>
    <w:rsid w:val="004B7FB4"/>
    <w:rsid w:val="004C08FB"/>
    <w:rsid w:val="004C19B4"/>
    <w:rsid w:val="004C4277"/>
    <w:rsid w:val="004C514E"/>
    <w:rsid w:val="004C5C9E"/>
    <w:rsid w:val="004C687C"/>
    <w:rsid w:val="004D0C01"/>
    <w:rsid w:val="004D27A9"/>
    <w:rsid w:val="004D3E2C"/>
    <w:rsid w:val="004D3EF6"/>
    <w:rsid w:val="004E273E"/>
    <w:rsid w:val="004E445F"/>
    <w:rsid w:val="004E4687"/>
    <w:rsid w:val="004E4E1A"/>
    <w:rsid w:val="004E4F2D"/>
    <w:rsid w:val="004E74A7"/>
    <w:rsid w:val="004F0550"/>
    <w:rsid w:val="004F1B15"/>
    <w:rsid w:val="004F2838"/>
    <w:rsid w:val="004F405D"/>
    <w:rsid w:val="004F7668"/>
    <w:rsid w:val="004F7DE9"/>
    <w:rsid w:val="00503844"/>
    <w:rsid w:val="005041AB"/>
    <w:rsid w:val="00504408"/>
    <w:rsid w:val="005046AD"/>
    <w:rsid w:val="005060E8"/>
    <w:rsid w:val="0050624A"/>
    <w:rsid w:val="00506887"/>
    <w:rsid w:val="00507051"/>
    <w:rsid w:val="00507E61"/>
    <w:rsid w:val="00512274"/>
    <w:rsid w:val="005122AC"/>
    <w:rsid w:val="00513FDD"/>
    <w:rsid w:val="00515FD4"/>
    <w:rsid w:val="00516C35"/>
    <w:rsid w:val="00517F41"/>
    <w:rsid w:val="00520B16"/>
    <w:rsid w:val="00520DE0"/>
    <w:rsid w:val="00521334"/>
    <w:rsid w:val="0052140E"/>
    <w:rsid w:val="00521514"/>
    <w:rsid w:val="00524501"/>
    <w:rsid w:val="0052580A"/>
    <w:rsid w:val="005266F0"/>
    <w:rsid w:val="0052672D"/>
    <w:rsid w:val="005268D5"/>
    <w:rsid w:val="00527086"/>
    <w:rsid w:val="00530998"/>
    <w:rsid w:val="00531633"/>
    <w:rsid w:val="00532C96"/>
    <w:rsid w:val="00532E52"/>
    <w:rsid w:val="00534E0B"/>
    <w:rsid w:val="00536425"/>
    <w:rsid w:val="00537177"/>
    <w:rsid w:val="00537C2F"/>
    <w:rsid w:val="00540B18"/>
    <w:rsid w:val="005415E0"/>
    <w:rsid w:val="00543345"/>
    <w:rsid w:val="0054421A"/>
    <w:rsid w:val="00545F3C"/>
    <w:rsid w:val="005504B5"/>
    <w:rsid w:val="005512F0"/>
    <w:rsid w:val="005526E7"/>
    <w:rsid w:val="0055597B"/>
    <w:rsid w:val="00556050"/>
    <w:rsid w:val="00557DE4"/>
    <w:rsid w:val="00561193"/>
    <w:rsid w:val="00561FCE"/>
    <w:rsid w:val="005641CA"/>
    <w:rsid w:val="00564CA5"/>
    <w:rsid w:val="00566237"/>
    <w:rsid w:val="005662C9"/>
    <w:rsid w:val="005669DB"/>
    <w:rsid w:val="005700B6"/>
    <w:rsid w:val="005716ED"/>
    <w:rsid w:val="005720D2"/>
    <w:rsid w:val="0057479C"/>
    <w:rsid w:val="00575D77"/>
    <w:rsid w:val="005763CF"/>
    <w:rsid w:val="00576515"/>
    <w:rsid w:val="00576906"/>
    <w:rsid w:val="00576D17"/>
    <w:rsid w:val="005817B8"/>
    <w:rsid w:val="00583FFF"/>
    <w:rsid w:val="005900EE"/>
    <w:rsid w:val="00590162"/>
    <w:rsid w:val="00591549"/>
    <w:rsid w:val="0059252E"/>
    <w:rsid w:val="005926C6"/>
    <w:rsid w:val="00593AEB"/>
    <w:rsid w:val="0059460B"/>
    <w:rsid w:val="00594B12"/>
    <w:rsid w:val="00595FA5"/>
    <w:rsid w:val="00597F4B"/>
    <w:rsid w:val="005A154E"/>
    <w:rsid w:val="005A2814"/>
    <w:rsid w:val="005A3286"/>
    <w:rsid w:val="005A4BDB"/>
    <w:rsid w:val="005A4EC0"/>
    <w:rsid w:val="005A736C"/>
    <w:rsid w:val="005B00EF"/>
    <w:rsid w:val="005B3305"/>
    <w:rsid w:val="005B4148"/>
    <w:rsid w:val="005B43F3"/>
    <w:rsid w:val="005B4CEE"/>
    <w:rsid w:val="005B7C12"/>
    <w:rsid w:val="005C1673"/>
    <w:rsid w:val="005C2445"/>
    <w:rsid w:val="005C35B4"/>
    <w:rsid w:val="005C4521"/>
    <w:rsid w:val="005C5DB3"/>
    <w:rsid w:val="005C606F"/>
    <w:rsid w:val="005C6BB0"/>
    <w:rsid w:val="005C7F7F"/>
    <w:rsid w:val="005D0AC5"/>
    <w:rsid w:val="005D13AA"/>
    <w:rsid w:val="005D2416"/>
    <w:rsid w:val="005D26DF"/>
    <w:rsid w:val="005D3EC2"/>
    <w:rsid w:val="005D3FC0"/>
    <w:rsid w:val="005D4C07"/>
    <w:rsid w:val="005D68A9"/>
    <w:rsid w:val="005D690F"/>
    <w:rsid w:val="005D70EF"/>
    <w:rsid w:val="005E0A57"/>
    <w:rsid w:val="005E0FC1"/>
    <w:rsid w:val="005E2F42"/>
    <w:rsid w:val="005E378D"/>
    <w:rsid w:val="005E3C4F"/>
    <w:rsid w:val="005E6714"/>
    <w:rsid w:val="005E6D5F"/>
    <w:rsid w:val="005F0162"/>
    <w:rsid w:val="005F1014"/>
    <w:rsid w:val="005F1ACE"/>
    <w:rsid w:val="005F20C1"/>
    <w:rsid w:val="005F45B1"/>
    <w:rsid w:val="005F720B"/>
    <w:rsid w:val="00600341"/>
    <w:rsid w:val="0060140B"/>
    <w:rsid w:val="00602312"/>
    <w:rsid w:val="00602DFA"/>
    <w:rsid w:val="006036D5"/>
    <w:rsid w:val="00604FFE"/>
    <w:rsid w:val="00607480"/>
    <w:rsid w:val="00612195"/>
    <w:rsid w:val="00612C3D"/>
    <w:rsid w:val="00612ECA"/>
    <w:rsid w:val="006161F1"/>
    <w:rsid w:val="00616C5A"/>
    <w:rsid w:val="0061797D"/>
    <w:rsid w:val="006200A1"/>
    <w:rsid w:val="00621E68"/>
    <w:rsid w:val="00622E2A"/>
    <w:rsid w:val="00623111"/>
    <w:rsid w:val="00623585"/>
    <w:rsid w:val="00625AA6"/>
    <w:rsid w:val="00625F5A"/>
    <w:rsid w:val="00626911"/>
    <w:rsid w:val="00630483"/>
    <w:rsid w:val="00630C36"/>
    <w:rsid w:val="00631A04"/>
    <w:rsid w:val="00631A9F"/>
    <w:rsid w:val="006325CF"/>
    <w:rsid w:val="00632899"/>
    <w:rsid w:val="00632934"/>
    <w:rsid w:val="00636016"/>
    <w:rsid w:val="0063603B"/>
    <w:rsid w:val="00636088"/>
    <w:rsid w:val="00637116"/>
    <w:rsid w:val="00637DD2"/>
    <w:rsid w:val="00640097"/>
    <w:rsid w:val="00641A6F"/>
    <w:rsid w:val="00642A1E"/>
    <w:rsid w:val="0064392B"/>
    <w:rsid w:val="00643A9F"/>
    <w:rsid w:val="0064617A"/>
    <w:rsid w:val="00650201"/>
    <w:rsid w:val="0065140A"/>
    <w:rsid w:val="00651C6B"/>
    <w:rsid w:val="00654237"/>
    <w:rsid w:val="0065474F"/>
    <w:rsid w:val="00655200"/>
    <w:rsid w:val="00655A4D"/>
    <w:rsid w:val="00656201"/>
    <w:rsid w:val="006570C8"/>
    <w:rsid w:val="006604D3"/>
    <w:rsid w:val="006609AB"/>
    <w:rsid w:val="00662469"/>
    <w:rsid w:val="00662E4F"/>
    <w:rsid w:val="00662F17"/>
    <w:rsid w:val="00664BA2"/>
    <w:rsid w:val="00670211"/>
    <w:rsid w:val="00670CCE"/>
    <w:rsid w:val="00671B13"/>
    <w:rsid w:val="00673369"/>
    <w:rsid w:val="00673581"/>
    <w:rsid w:val="00673C97"/>
    <w:rsid w:val="00675923"/>
    <w:rsid w:val="006809ED"/>
    <w:rsid w:val="00680C62"/>
    <w:rsid w:val="0068139A"/>
    <w:rsid w:val="00681B33"/>
    <w:rsid w:val="006824CF"/>
    <w:rsid w:val="006830C4"/>
    <w:rsid w:val="00683195"/>
    <w:rsid w:val="00683830"/>
    <w:rsid w:val="00683F85"/>
    <w:rsid w:val="00685344"/>
    <w:rsid w:val="006857A1"/>
    <w:rsid w:val="0069088E"/>
    <w:rsid w:val="0069149A"/>
    <w:rsid w:val="00693BBB"/>
    <w:rsid w:val="00693F73"/>
    <w:rsid w:val="00696188"/>
    <w:rsid w:val="006973A6"/>
    <w:rsid w:val="006A127E"/>
    <w:rsid w:val="006A3745"/>
    <w:rsid w:val="006A3C3C"/>
    <w:rsid w:val="006A419B"/>
    <w:rsid w:val="006A4470"/>
    <w:rsid w:val="006B0FB1"/>
    <w:rsid w:val="006B1D59"/>
    <w:rsid w:val="006B28D2"/>
    <w:rsid w:val="006B42B0"/>
    <w:rsid w:val="006B4363"/>
    <w:rsid w:val="006B52F7"/>
    <w:rsid w:val="006B62AF"/>
    <w:rsid w:val="006B7D86"/>
    <w:rsid w:val="006C0CEB"/>
    <w:rsid w:val="006C0F36"/>
    <w:rsid w:val="006C1B31"/>
    <w:rsid w:val="006C52BA"/>
    <w:rsid w:val="006C6539"/>
    <w:rsid w:val="006C66E5"/>
    <w:rsid w:val="006C7D64"/>
    <w:rsid w:val="006D071E"/>
    <w:rsid w:val="006D2A86"/>
    <w:rsid w:val="006D2DA2"/>
    <w:rsid w:val="006D35FD"/>
    <w:rsid w:val="006D3E76"/>
    <w:rsid w:val="006D5444"/>
    <w:rsid w:val="006D57FE"/>
    <w:rsid w:val="006D58BF"/>
    <w:rsid w:val="006D5EBB"/>
    <w:rsid w:val="006D5F30"/>
    <w:rsid w:val="006D6528"/>
    <w:rsid w:val="006D6925"/>
    <w:rsid w:val="006D6D8F"/>
    <w:rsid w:val="006D79B1"/>
    <w:rsid w:val="006E38D4"/>
    <w:rsid w:val="006E55FC"/>
    <w:rsid w:val="006E56AE"/>
    <w:rsid w:val="006E5E14"/>
    <w:rsid w:val="006E63C0"/>
    <w:rsid w:val="006E77CC"/>
    <w:rsid w:val="006F2860"/>
    <w:rsid w:val="006F2DFD"/>
    <w:rsid w:val="006F2F07"/>
    <w:rsid w:val="007003A5"/>
    <w:rsid w:val="0070043B"/>
    <w:rsid w:val="00701772"/>
    <w:rsid w:val="0070271D"/>
    <w:rsid w:val="00703652"/>
    <w:rsid w:val="00704D1D"/>
    <w:rsid w:val="0070734F"/>
    <w:rsid w:val="007075B3"/>
    <w:rsid w:val="0071127F"/>
    <w:rsid w:val="0071330A"/>
    <w:rsid w:val="007147E4"/>
    <w:rsid w:val="0071500E"/>
    <w:rsid w:val="007156F1"/>
    <w:rsid w:val="00717953"/>
    <w:rsid w:val="0072140B"/>
    <w:rsid w:val="00723B3F"/>
    <w:rsid w:val="00723FC2"/>
    <w:rsid w:val="00724D63"/>
    <w:rsid w:val="00725EF1"/>
    <w:rsid w:val="00726773"/>
    <w:rsid w:val="00727D80"/>
    <w:rsid w:val="007308AC"/>
    <w:rsid w:val="00730FDC"/>
    <w:rsid w:val="00731BE0"/>
    <w:rsid w:val="00732C84"/>
    <w:rsid w:val="007338A6"/>
    <w:rsid w:val="00735037"/>
    <w:rsid w:val="007354AE"/>
    <w:rsid w:val="0073566F"/>
    <w:rsid w:val="00735DDA"/>
    <w:rsid w:val="007367F9"/>
    <w:rsid w:val="00737423"/>
    <w:rsid w:val="007412A8"/>
    <w:rsid w:val="00744EF0"/>
    <w:rsid w:val="00746315"/>
    <w:rsid w:val="007472F1"/>
    <w:rsid w:val="007473D9"/>
    <w:rsid w:val="007474A6"/>
    <w:rsid w:val="007474A9"/>
    <w:rsid w:val="00756913"/>
    <w:rsid w:val="00756CA6"/>
    <w:rsid w:val="007575A7"/>
    <w:rsid w:val="00757B18"/>
    <w:rsid w:val="00760013"/>
    <w:rsid w:val="00760C08"/>
    <w:rsid w:val="00762C5C"/>
    <w:rsid w:val="00763808"/>
    <w:rsid w:val="00764B07"/>
    <w:rsid w:val="007655AE"/>
    <w:rsid w:val="00766180"/>
    <w:rsid w:val="00766680"/>
    <w:rsid w:val="00767ECD"/>
    <w:rsid w:val="00770056"/>
    <w:rsid w:val="007719E1"/>
    <w:rsid w:val="00771C90"/>
    <w:rsid w:val="00772014"/>
    <w:rsid w:val="007740D4"/>
    <w:rsid w:val="007743D9"/>
    <w:rsid w:val="00774E11"/>
    <w:rsid w:val="00775681"/>
    <w:rsid w:val="007776EF"/>
    <w:rsid w:val="007803ED"/>
    <w:rsid w:val="007806D2"/>
    <w:rsid w:val="007832C0"/>
    <w:rsid w:val="00783E4C"/>
    <w:rsid w:val="00785CD4"/>
    <w:rsid w:val="00785DE4"/>
    <w:rsid w:val="00786FCD"/>
    <w:rsid w:val="00790484"/>
    <w:rsid w:val="007904AA"/>
    <w:rsid w:val="007919CA"/>
    <w:rsid w:val="00791B66"/>
    <w:rsid w:val="00792260"/>
    <w:rsid w:val="007922B5"/>
    <w:rsid w:val="007942B6"/>
    <w:rsid w:val="007A0684"/>
    <w:rsid w:val="007A1B81"/>
    <w:rsid w:val="007A21A0"/>
    <w:rsid w:val="007A2850"/>
    <w:rsid w:val="007A31D5"/>
    <w:rsid w:val="007A4972"/>
    <w:rsid w:val="007A4E7F"/>
    <w:rsid w:val="007A5188"/>
    <w:rsid w:val="007A64E8"/>
    <w:rsid w:val="007A6697"/>
    <w:rsid w:val="007A78EE"/>
    <w:rsid w:val="007A7B08"/>
    <w:rsid w:val="007B3072"/>
    <w:rsid w:val="007B3170"/>
    <w:rsid w:val="007B520C"/>
    <w:rsid w:val="007B7208"/>
    <w:rsid w:val="007C15F0"/>
    <w:rsid w:val="007C164C"/>
    <w:rsid w:val="007C25C5"/>
    <w:rsid w:val="007C31F1"/>
    <w:rsid w:val="007C4C89"/>
    <w:rsid w:val="007C50C3"/>
    <w:rsid w:val="007C5360"/>
    <w:rsid w:val="007D0898"/>
    <w:rsid w:val="007D107F"/>
    <w:rsid w:val="007D248D"/>
    <w:rsid w:val="007D2A4A"/>
    <w:rsid w:val="007D39CF"/>
    <w:rsid w:val="007D3CB1"/>
    <w:rsid w:val="007D43C0"/>
    <w:rsid w:val="007D4DBF"/>
    <w:rsid w:val="007D5942"/>
    <w:rsid w:val="007D5ABE"/>
    <w:rsid w:val="007D5F69"/>
    <w:rsid w:val="007D6705"/>
    <w:rsid w:val="007D6C9B"/>
    <w:rsid w:val="007D7C51"/>
    <w:rsid w:val="007E0338"/>
    <w:rsid w:val="007E07B9"/>
    <w:rsid w:val="007E0EC3"/>
    <w:rsid w:val="007E169C"/>
    <w:rsid w:val="007E20D6"/>
    <w:rsid w:val="007E28FC"/>
    <w:rsid w:val="007E30E1"/>
    <w:rsid w:val="007E4D34"/>
    <w:rsid w:val="007E4F8F"/>
    <w:rsid w:val="007E537D"/>
    <w:rsid w:val="007E64C0"/>
    <w:rsid w:val="007E6B5F"/>
    <w:rsid w:val="007E77FA"/>
    <w:rsid w:val="007E79E8"/>
    <w:rsid w:val="007F034B"/>
    <w:rsid w:val="007F15E4"/>
    <w:rsid w:val="007F199D"/>
    <w:rsid w:val="007F1E5D"/>
    <w:rsid w:val="007F236F"/>
    <w:rsid w:val="007F3BF6"/>
    <w:rsid w:val="007F3EAE"/>
    <w:rsid w:val="007F7144"/>
    <w:rsid w:val="007F7EF4"/>
    <w:rsid w:val="0080093F"/>
    <w:rsid w:val="008012CF"/>
    <w:rsid w:val="00803483"/>
    <w:rsid w:val="00804B09"/>
    <w:rsid w:val="00804E0D"/>
    <w:rsid w:val="00804FBA"/>
    <w:rsid w:val="0080505F"/>
    <w:rsid w:val="00810945"/>
    <w:rsid w:val="0081119E"/>
    <w:rsid w:val="008137E7"/>
    <w:rsid w:val="00813E3A"/>
    <w:rsid w:val="008148A9"/>
    <w:rsid w:val="00814C01"/>
    <w:rsid w:val="00815FEC"/>
    <w:rsid w:val="00816AF3"/>
    <w:rsid w:val="008179CD"/>
    <w:rsid w:val="00820A8B"/>
    <w:rsid w:val="008212A9"/>
    <w:rsid w:val="0082136D"/>
    <w:rsid w:val="00823014"/>
    <w:rsid w:val="00823408"/>
    <w:rsid w:val="00823CFB"/>
    <w:rsid w:val="00823F3B"/>
    <w:rsid w:val="0082629F"/>
    <w:rsid w:val="00827B40"/>
    <w:rsid w:val="00831056"/>
    <w:rsid w:val="00834002"/>
    <w:rsid w:val="0083407B"/>
    <w:rsid w:val="0083517A"/>
    <w:rsid w:val="00835538"/>
    <w:rsid w:val="00835586"/>
    <w:rsid w:val="00835EB7"/>
    <w:rsid w:val="00835F7A"/>
    <w:rsid w:val="00840943"/>
    <w:rsid w:val="008414E6"/>
    <w:rsid w:val="00842012"/>
    <w:rsid w:val="008422AB"/>
    <w:rsid w:val="00842F49"/>
    <w:rsid w:val="00843130"/>
    <w:rsid w:val="008447EE"/>
    <w:rsid w:val="00845A4F"/>
    <w:rsid w:val="00846377"/>
    <w:rsid w:val="00846FC2"/>
    <w:rsid w:val="00847214"/>
    <w:rsid w:val="008504F1"/>
    <w:rsid w:val="00853014"/>
    <w:rsid w:val="008534DA"/>
    <w:rsid w:val="008539CF"/>
    <w:rsid w:val="0086013B"/>
    <w:rsid w:val="008618DF"/>
    <w:rsid w:val="00862F1D"/>
    <w:rsid w:val="00865864"/>
    <w:rsid w:val="00866A81"/>
    <w:rsid w:val="00867601"/>
    <w:rsid w:val="00872272"/>
    <w:rsid w:val="00873B95"/>
    <w:rsid w:val="00875135"/>
    <w:rsid w:val="00876EE3"/>
    <w:rsid w:val="00877282"/>
    <w:rsid w:val="00880171"/>
    <w:rsid w:val="00881572"/>
    <w:rsid w:val="0088654E"/>
    <w:rsid w:val="00887168"/>
    <w:rsid w:val="00887EFB"/>
    <w:rsid w:val="008902B9"/>
    <w:rsid w:val="00892BFD"/>
    <w:rsid w:val="00893E2E"/>
    <w:rsid w:val="008A035B"/>
    <w:rsid w:val="008A0578"/>
    <w:rsid w:val="008A08DB"/>
    <w:rsid w:val="008A0EE9"/>
    <w:rsid w:val="008A1093"/>
    <w:rsid w:val="008A1922"/>
    <w:rsid w:val="008A2DA2"/>
    <w:rsid w:val="008A35C4"/>
    <w:rsid w:val="008A3E8C"/>
    <w:rsid w:val="008A6A9A"/>
    <w:rsid w:val="008A7AE1"/>
    <w:rsid w:val="008B0641"/>
    <w:rsid w:val="008B0C56"/>
    <w:rsid w:val="008B0CA2"/>
    <w:rsid w:val="008B3452"/>
    <w:rsid w:val="008B3555"/>
    <w:rsid w:val="008B4322"/>
    <w:rsid w:val="008B47A4"/>
    <w:rsid w:val="008B4852"/>
    <w:rsid w:val="008B5328"/>
    <w:rsid w:val="008B5CF3"/>
    <w:rsid w:val="008B6427"/>
    <w:rsid w:val="008B75AF"/>
    <w:rsid w:val="008C07B8"/>
    <w:rsid w:val="008C0E71"/>
    <w:rsid w:val="008C100B"/>
    <w:rsid w:val="008C140E"/>
    <w:rsid w:val="008C22B5"/>
    <w:rsid w:val="008C4D5C"/>
    <w:rsid w:val="008C52F9"/>
    <w:rsid w:val="008C6152"/>
    <w:rsid w:val="008C71BD"/>
    <w:rsid w:val="008D1C85"/>
    <w:rsid w:val="008D53B9"/>
    <w:rsid w:val="008D6390"/>
    <w:rsid w:val="008D6804"/>
    <w:rsid w:val="008D715C"/>
    <w:rsid w:val="008D73D7"/>
    <w:rsid w:val="008D7C85"/>
    <w:rsid w:val="008E5132"/>
    <w:rsid w:val="008E64B1"/>
    <w:rsid w:val="008E671D"/>
    <w:rsid w:val="008F0772"/>
    <w:rsid w:val="008F0D38"/>
    <w:rsid w:val="008F7015"/>
    <w:rsid w:val="009026CD"/>
    <w:rsid w:val="009028A6"/>
    <w:rsid w:val="0090374A"/>
    <w:rsid w:val="0090390E"/>
    <w:rsid w:val="0090496D"/>
    <w:rsid w:val="00905853"/>
    <w:rsid w:val="009073D3"/>
    <w:rsid w:val="00910F78"/>
    <w:rsid w:val="009116DE"/>
    <w:rsid w:val="0091268A"/>
    <w:rsid w:val="009130CF"/>
    <w:rsid w:val="009132D5"/>
    <w:rsid w:val="00914B94"/>
    <w:rsid w:val="009151E2"/>
    <w:rsid w:val="0091596D"/>
    <w:rsid w:val="00920245"/>
    <w:rsid w:val="00920413"/>
    <w:rsid w:val="00922F3F"/>
    <w:rsid w:val="009237D1"/>
    <w:rsid w:val="009244A0"/>
    <w:rsid w:val="00924776"/>
    <w:rsid w:val="00924B20"/>
    <w:rsid w:val="0093086A"/>
    <w:rsid w:val="00930A57"/>
    <w:rsid w:val="00931F9E"/>
    <w:rsid w:val="009321B7"/>
    <w:rsid w:val="00932471"/>
    <w:rsid w:val="00932D3A"/>
    <w:rsid w:val="00932EB2"/>
    <w:rsid w:val="00933442"/>
    <w:rsid w:val="00933A0E"/>
    <w:rsid w:val="00934B65"/>
    <w:rsid w:val="00936B63"/>
    <w:rsid w:val="00941032"/>
    <w:rsid w:val="00941254"/>
    <w:rsid w:val="00942C00"/>
    <w:rsid w:val="009438B9"/>
    <w:rsid w:val="0094397F"/>
    <w:rsid w:val="00945572"/>
    <w:rsid w:val="00945C1A"/>
    <w:rsid w:val="00947A3D"/>
    <w:rsid w:val="00947B7E"/>
    <w:rsid w:val="009529FF"/>
    <w:rsid w:val="0095384E"/>
    <w:rsid w:val="00953F27"/>
    <w:rsid w:val="00954324"/>
    <w:rsid w:val="00960825"/>
    <w:rsid w:val="00960920"/>
    <w:rsid w:val="00961DCB"/>
    <w:rsid w:val="0096208B"/>
    <w:rsid w:val="009721C7"/>
    <w:rsid w:val="00974196"/>
    <w:rsid w:val="00974BDE"/>
    <w:rsid w:val="0097507B"/>
    <w:rsid w:val="009751C9"/>
    <w:rsid w:val="0097639F"/>
    <w:rsid w:val="009772FA"/>
    <w:rsid w:val="00977AA2"/>
    <w:rsid w:val="009822CF"/>
    <w:rsid w:val="009826D2"/>
    <w:rsid w:val="00982D0F"/>
    <w:rsid w:val="00984F07"/>
    <w:rsid w:val="00986C0D"/>
    <w:rsid w:val="00987290"/>
    <w:rsid w:val="00987367"/>
    <w:rsid w:val="0099000B"/>
    <w:rsid w:val="0099034C"/>
    <w:rsid w:val="0099121F"/>
    <w:rsid w:val="00991225"/>
    <w:rsid w:val="00994C82"/>
    <w:rsid w:val="009958F2"/>
    <w:rsid w:val="009966D4"/>
    <w:rsid w:val="00996A71"/>
    <w:rsid w:val="00997C8B"/>
    <w:rsid w:val="009A01CA"/>
    <w:rsid w:val="009A0CF0"/>
    <w:rsid w:val="009A0D1F"/>
    <w:rsid w:val="009A1EA6"/>
    <w:rsid w:val="009A2DAE"/>
    <w:rsid w:val="009A48DD"/>
    <w:rsid w:val="009A6007"/>
    <w:rsid w:val="009A6286"/>
    <w:rsid w:val="009A6A5F"/>
    <w:rsid w:val="009B1462"/>
    <w:rsid w:val="009B28DF"/>
    <w:rsid w:val="009B2E40"/>
    <w:rsid w:val="009B3AB6"/>
    <w:rsid w:val="009B3C46"/>
    <w:rsid w:val="009B57B9"/>
    <w:rsid w:val="009B6D1B"/>
    <w:rsid w:val="009C0F0F"/>
    <w:rsid w:val="009C2C47"/>
    <w:rsid w:val="009C369A"/>
    <w:rsid w:val="009C3C9A"/>
    <w:rsid w:val="009C3F86"/>
    <w:rsid w:val="009C7F37"/>
    <w:rsid w:val="009D1485"/>
    <w:rsid w:val="009D195D"/>
    <w:rsid w:val="009D4E2F"/>
    <w:rsid w:val="009D6F9E"/>
    <w:rsid w:val="009D74E3"/>
    <w:rsid w:val="009E08D2"/>
    <w:rsid w:val="009E0B4D"/>
    <w:rsid w:val="009E217E"/>
    <w:rsid w:val="009E2732"/>
    <w:rsid w:val="009E2A29"/>
    <w:rsid w:val="009E5CDB"/>
    <w:rsid w:val="009E762E"/>
    <w:rsid w:val="009F05D3"/>
    <w:rsid w:val="009F2041"/>
    <w:rsid w:val="009F2A18"/>
    <w:rsid w:val="009F3294"/>
    <w:rsid w:val="009F3F08"/>
    <w:rsid w:val="009F65B1"/>
    <w:rsid w:val="009F69E8"/>
    <w:rsid w:val="00A011CF"/>
    <w:rsid w:val="00A01940"/>
    <w:rsid w:val="00A029A9"/>
    <w:rsid w:val="00A05034"/>
    <w:rsid w:val="00A07175"/>
    <w:rsid w:val="00A07F9B"/>
    <w:rsid w:val="00A110C4"/>
    <w:rsid w:val="00A13808"/>
    <w:rsid w:val="00A141E9"/>
    <w:rsid w:val="00A17718"/>
    <w:rsid w:val="00A179FB"/>
    <w:rsid w:val="00A204AE"/>
    <w:rsid w:val="00A226FC"/>
    <w:rsid w:val="00A23D21"/>
    <w:rsid w:val="00A25651"/>
    <w:rsid w:val="00A268C0"/>
    <w:rsid w:val="00A27394"/>
    <w:rsid w:val="00A31C0B"/>
    <w:rsid w:val="00A327DE"/>
    <w:rsid w:val="00A32EC8"/>
    <w:rsid w:val="00A3350B"/>
    <w:rsid w:val="00A345EA"/>
    <w:rsid w:val="00A37EF8"/>
    <w:rsid w:val="00A40139"/>
    <w:rsid w:val="00A40BBC"/>
    <w:rsid w:val="00A4244A"/>
    <w:rsid w:val="00A42843"/>
    <w:rsid w:val="00A42F4F"/>
    <w:rsid w:val="00A43ABF"/>
    <w:rsid w:val="00A43D88"/>
    <w:rsid w:val="00A471A8"/>
    <w:rsid w:val="00A47E15"/>
    <w:rsid w:val="00A47E32"/>
    <w:rsid w:val="00A53167"/>
    <w:rsid w:val="00A55324"/>
    <w:rsid w:val="00A55467"/>
    <w:rsid w:val="00A55C4A"/>
    <w:rsid w:val="00A616C9"/>
    <w:rsid w:val="00A62882"/>
    <w:rsid w:val="00A63816"/>
    <w:rsid w:val="00A65942"/>
    <w:rsid w:val="00A661D3"/>
    <w:rsid w:val="00A67281"/>
    <w:rsid w:val="00A677A8"/>
    <w:rsid w:val="00A71B95"/>
    <w:rsid w:val="00A71DD0"/>
    <w:rsid w:val="00A729A3"/>
    <w:rsid w:val="00A733C1"/>
    <w:rsid w:val="00A73B4E"/>
    <w:rsid w:val="00A73FA6"/>
    <w:rsid w:val="00A73FF9"/>
    <w:rsid w:val="00A759C9"/>
    <w:rsid w:val="00A764BF"/>
    <w:rsid w:val="00A82B02"/>
    <w:rsid w:val="00A82C29"/>
    <w:rsid w:val="00A83B4B"/>
    <w:rsid w:val="00A84071"/>
    <w:rsid w:val="00A859CF"/>
    <w:rsid w:val="00A85EF4"/>
    <w:rsid w:val="00A8619B"/>
    <w:rsid w:val="00A86C5C"/>
    <w:rsid w:val="00A87042"/>
    <w:rsid w:val="00A871AB"/>
    <w:rsid w:val="00A900FD"/>
    <w:rsid w:val="00A9208A"/>
    <w:rsid w:val="00A92391"/>
    <w:rsid w:val="00A92D39"/>
    <w:rsid w:val="00A942EF"/>
    <w:rsid w:val="00A96550"/>
    <w:rsid w:val="00A97A55"/>
    <w:rsid w:val="00A97ED5"/>
    <w:rsid w:val="00AA06E7"/>
    <w:rsid w:val="00AA1820"/>
    <w:rsid w:val="00AA1E5F"/>
    <w:rsid w:val="00AA2F96"/>
    <w:rsid w:val="00AA3C38"/>
    <w:rsid w:val="00AA4AF1"/>
    <w:rsid w:val="00AA5B30"/>
    <w:rsid w:val="00AA6A88"/>
    <w:rsid w:val="00AA7E00"/>
    <w:rsid w:val="00AA7E68"/>
    <w:rsid w:val="00AB051C"/>
    <w:rsid w:val="00AB106D"/>
    <w:rsid w:val="00AB1B6A"/>
    <w:rsid w:val="00AB2961"/>
    <w:rsid w:val="00AB2D41"/>
    <w:rsid w:val="00AB2FAC"/>
    <w:rsid w:val="00AB4F1F"/>
    <w:rsid w:val="00AB5701"/>
    <w:rsid w:val="00AB5C5C"/>
    <w:rsid w:val="00AB707B"/>
    <w:rsid w:val="00AB78CC"/>
    <w:rsid w:val="00AC260A"/>
    <w:rsid w:val="00AC47E2"/>
    <w:rsid w:val="00AC5EBF"/>
    <w:rsid w:val="00AC7310"/>
    <w:rsid w:val="00AC76F9"/>
    <w:rsid w:val="00AD008D"/>
    <w:rsid w:val="00AD21AB"/>
    <w:rsid w:val="00AD40DB"/>
    <w:rsid w:val="00AD4F8C"/>
    <w:rsid w:val="00AD6205"/>
    <w:rsid w:val="00AD68AE"/>
    <w:rsid w:val="00AD6DDE"/>
    <w:rsid w:val="00AE1FD0"/>
    <w:rsid w:val="00AE2BDC"/>
    <w:rsid w:val="00AF0C07"/>
    <w:rsid w:val="00AF0D60"/>
    <w:rsid w:val="00AF0E8F"/>
    <w:rsid w:val="00AF1AF9"/>
    <w:rsid w:val="00AF1C6A"/>
    <w:rsid w:val="00AF2370"/>
    <w:rsid w:val="00AF287A"/>
    <w:rsid w:val="00AF2A3A"/>
    <w:rsid w:val="00AF5FD6"/>
    <w:rsid w:val="00B00CE5"/>
    <w:rsid w:val="00B0107C"/>
    <w:rsid w:val="00B01A45"/>
    <w:rsid w:val="00B028D2"/>
    <w:rsid w:val="00B02913"/>
    <w:rsid w:val="00B039B0"/>
    <w:rsid w:val="00B0433F"/>
    <w:rsid w:val="00B04A06"/>
    <w:rsid w:val="00B05734"/>
    <w:rsid w:val="00B078A3"/>
    <w:rsid w:val="00B15A68"/>
    <w:rsid w:val="00B16E12"/>
    <w:rsid w:val="00B17AF8"/>
    <w:rsid w:val="00B17EB0"/>
    <w:rsid w:val="00B204B0"/>
    <w:rsid w:val="00B21A78"/>
    <w:rsid w:val="00B22229"/>
    <w:rsid w:val="00B240A1"/>
    <w:rsid w:val="00B24114"/>
    <w:rsid w:val="00B2607B"/>
    <w:rsid w:val="00B27EAF"/>
    <w:rsid w:val="00B30F47"/>
    <w:rsid w:val="00B33AA2"/>
    <w:rsid w:val="00B340CD"/>
    <w:rsid w:val="00B34CB7"/>
    <w:rsid w:val="00B35C29"/>
    <w:rsid w:val="00B36962"/>
    <w:rsid w:val="00B40700"/>
    <w:rsid w:val="00B40F61"/>
    <w:rsid w:val="00B42611"/>
    <w:rsid w:val="00B42A43"/>
    <w:rsid w:val="00B44492"/>
    <w:rsid w:val="00B4466E"/>
    <w:rsid w:val="00B45B94"/>
    <w:rsid w:val="00B46FEB"/>
    <w:rsid w:val="00B47F54"/>
    <w:rsid w:val="00B5134F"/>
    <w:rsid w:val="00B51364"/>
    <w:rsid w:val="00B517B8"/>
    <w:rsid w:val="00B52E88"/>
    <w:rsid w:val="00B55273"/>
    <w:rsid w:val="00B56FC5"/>
    <w:rsid w:val="00B6123A"/>
    <w:rsid w:val="00B62E54"/>
    <w:rsid w:val="00B63934"/>
    <w:rsid w:val="00B64DE2"/>
    <w:rsid w:val="00B660D6"/>
    <w:rsid w:val="00B67CE7"/>
    <w:rsid w:val="00B719F8"/>
    <w:rsid w:val="00B72C7B"/>
    <w:rsid w:val="00B73D23"/>
    <w:rsid w:val="00B73D4C"/>
    <w:rsid w:val="00B75647"/>
    <w:rsid w:val="00B75A4C"/>
    <w:rsid w:val="00B75CC5"/>
    <w:rsid w:val="00B8048A"/>
    <w:rsid w:val="00B80FD6"/>
    <w:rsid w:val="00B828EE"/>
    <w:rsid w:val="00B82AED"/>
    <w:rsid w:val="00B83553"/>
    <w:rsid w:val="00B84DC5"/>
    <w:rsid w:val="00B90330"/>
    <w:rsid w:val="00B91F3E"/>
    <w:rsid w:val="00B93EC2"/>
    <w:rsid w:val="00B956F6"/>
    <w:rsid w:val="00B959BE"/>
    <w:rsid w:val="00B96098"/>
    <w:rsid w:val="00B96F5B"/>
    <w:rsid w:val="00B97EFC"/>
    <w:rsid w:val="00BA22EB"/>
    <w:rsid w:val="00BA34FE"/>
    <w:rsid w:val="00BA3979"/>
    <w:rsid w:val="00BA57C7"/>
    <w:rsid w:val="00BA5A2F"/>
    <w:rsid w:val="00BA6B77"/>
    <w:rsid w:val="00BA78FB"/>
    <w:rsid w:val="00BA7EDD"/>
    <w:rsid w:val="00BA7F9F"/>
    <w:rsid w:val="00BB192F"/>
    <w:rsid w:val="00BB333B"/>
    <w:rsid w:val="00BB3C08"/>
    <w:rsid w:val="00BB5453"/>
    <w:rsid w:val="00BB54E7"/>
    <w:rsid w:val="00BB5D9B"/>
    <w:rsid w:val="00BB6955"/>
    <w:rsid w:val="00BB6DC0"/>
    <w:rsid w:val="00BB76B7"/>
    <w:rsid w:val="00BC21D7"/>
    <w:rsid w:val="00BC2A1B"/>
    <w:rsid w:val="00BC5524"/>
    <w:rsid w:val="00BC55D4"/>
    <w:rsid w:val="00BC57A4"/>
    <w:rsid w:val="00BC5862"/>
    <w:rsid w:val="00BC5DE9"/>
    <w:rsid w:val="00BD0559"/>
    <w:rsid w:val="00BD1492"/>
    <w:rsid w:val="00BD411C"/>
    <w:rsid w:val="00BD4B0C"/>
    <w:rsid w:val="00BD76CB"/>
    <w:rsid w:val="00BD79F8"/>
    <w:rsid w:val="00BE1A34"/>
    <w:rsid w:val="00BE1E30"/>
    <w:rsid w:val="00BE2BBB"/>
    <w:rsid w:val="00BE5939"/>
    <w:rsid w:val="00BE65C9"/>
    <w:rsid w:val="00BE68C7"/>
    <w:rsid w:val="00BE6D25"/>
    <w:rsid w:val="00BF359E"/>
    <w:rsid w:val="00BF3CC1"/>
    <w:rsid w:val="00BF5145"/>
    <w:rsid w:val="00BF6164"/>
    <w:rsid w:val="00BF68D6"/>
    <w:rsid w:val="00BF703E"/>
    <w:rsid w:val="00BF7174"/>
    <w:rsid w:val="00C027F3"/>
    <w:rsid w:val="00C02B0D"/>
    <w:rsid w:val="00C0328A"/>
    <w:rsid w:val="00C04710"/>
    <w:rsid w:val="00C07619"/>
    <w:rsid w:val="00C10134"/>
    <w:rsid w:val="00C102C8"/>
    <w:rsid w:val="00C111BE"/>
    <w:rsid w:val="00C1156F"/>
    <w:rsid w:val="00C11D17"/>
    <w:rsid w:val="00C124E0"/>
    <w:rsid w:val="00C12A04"/>
    <w:rsid w:val="00C1379C"/>
    <w:rsid w:val="00C13B3D"/>
    <w:rsid w:val="00C1733A"/>
    <w:rsid w:val="00C17D77"/>
    <w:rsid w:val="00C21679"/>
    <w:rsid w:val="00C21B3C"/>
    <w:rsid w:val="00C21B6B"/>
    <w:rsid w:val="00C22584"/>
    <w:rsid w:val="00C257EE"/>
    <w:rsid w:val="00C27755"/>
    <w:rsid w:val="00C308DD"/>
    <w:rsid w:val="00C31485"/>
    <w:rsid w:val="00C34435"/>
    <w:rsid w:val="00C35F2C"/>
    <w:rsid w:val="00C36423"/>
    <w:rsid w:val="00C36FFB"/>
    <w:rsid w:val="00C40107"/>
    <w:rsid w:val="00C407E7"/>
    <w:rsid w:val="00C41957"/>
    <w:rsid w:val="00C4350D"/>
    <w:rsid w:val="00C45391"/>
    <w:rsid w:val="00C45A11"/>
    <w:rsid w:val="00C46D2B"/>
    <w:rsid w:val="00C4704F"/>
    <w:rsid w:val="00C47227"/>
    <w:rsid w:val="00C522F7"/>
    <w:rsid w:val="00C52450"/>
    <w:rsid w:val="00C52693"/>
    <w:rsid w:val="00C53118"/>
    <w:rsid w:val="00C53A13"/>
    <w:rsid w:val="00C53F5D"/>
    <w:rsid w:val="00C54245"/>
    <w:rsid w:val="00C544F3"/>
    <w:rsid w:val="00C54F55"/>
    <w:rsid w:val="00C56774"/>
    <w:rsid w:val="00C62F51"/>
    <w:rsid w:val="00C63D04"/>
    <w:rsid w:val="00C649D2"/>
    <w:rsid w:val="00C6667B"/>
    <w:rsid w:val="00C70158"/>
    <w:rsid w:val="00C70A2E"/>
    <w:rsid w:val="00C73F3D"/>
    <w:rsid w:val="00C76A22"/>
    <w:rsid w:val="00C76ED1"/>
    <w:rsid w:val="00C80042"/>
    <w:rsid w:val="00C806B7"/>
    <w:rsid w:val="00C8087E"/>
    <w:rsid w:val="00C82238"/>
    <w:rsid w:val="00C83C3C"/>
    <w:rsid w:val="00C8455C"/>
    <w:rsid w:val="00C85DA0"/>
    <w:rsid w:val="00C86976"/>
    <w:rsid w:val="00C87651"/>
    <w:rsid w:val="00C87A9E"/>
    <w:rsid w:val="00C90DC4"/>
    <w:rsid w:val="00C92B4A"/>
    <w:rsid w:val="00C92F18"/>
    <w:rsid w:val="00C945C6"/>
    <w:rsid w:val="00C95D1B"/>
    <w:rsid w:val="00CA2C06"/>
    <w:rsid w:val="00CA4CB4"/>
    <w:rsid w:val="00CA658C"/>
    <w:rsid w:val="00CA68F0"/>
    <w:rsid w:val="00CA69A0"/>
    <w:rsid w:val="00CA7523"/>
    <w:rsid w:val="00CA7729"/>
    <w:rsid w:val="00CB05E7"/>
    <w:rsid w:val="00CB05E8"/>
    <w:rsid w:val="00CB08DA"/>
    <w:rsid w:val="00CB1688"/>
    <w:rsid w:val="00CB2DAF"/>
    <w:rsid w:val="00CB5932"/>
    <w:rsid w:val="00CB6567"/>
    <w:rsid w:val="00CB65BF"/>
    <w:rsid w:val="00CB6A37"/>
    <w:rsid w:val="00CC0269"/>
    <w:rsid w:val="00CC0EE0"/>
    <w:rsid w:val="00CC4227"/>
    <w:rsid w:val="00CC52A6"/>
    <w:rsid w:val="00CC5B18"/>
    <w:rsid w:val="00CD06D0"/>
    <w:rsid w:val="00CD0CE2"/>
    <w:rsid w:val="00CD14DA"/>
    <w:rsid w:val="00CD20D8"/>
    <w:rsid w:val="00CD2CD3"/>
    <w:rsid w:val="00CD3C09"/>
    <w:rsid w:val="00CD3D92"/>
    <w:rsid w:val="00CD5F0D"/>
    <w:rsid w:val="00CE0862"/>
    <w:rsid w:val="00CE0B13"/>
    <w:rsid w:val="00CE0DB3"/>
    <w:rsid w:val="00CE487A"/>
    <w:rsid w:val="00CE4A58"/>
    <w:rsid w:val="00CE6C09"/>
    <w:rsid w:val="00CE74EA"/>
    <w:rsid w:val="00CE7DB7"/>
    <w:rsid w:val="00CF0083"/>
    <w:rsid w:val="00CF0806"/>
    <w:rsid w:val="00CF1E73"/>
    <w:rsid w:val="00CF21D0"/>
    <w:rsid w:val="00CF298E"/>
    <w:rsid w:val="00CF57E4"/>
    <w:rsid w:val="00CF6582"/>
    <w:rsid w:val="00CF6F0F"/>
    <w:rsid w:val="00CF75E9"/>
    <w:rsid w:val="00D003C8"/>
    <w:rsid w:val="00D00416"/>
    <w:rsid w:val="00D016BA"/>
    <w:rsid w:val="00D02184"/>
    <w:rsid w:val="00D02AFC"/>
    <w:rsid w:val="00D02D96"/>
    <w:rsid w:val="00D076A7"/>
    <w:rsid w:val="00D07846"/>
    <w:rsid w:val="00D10AC5"/>
    <w:rsid w:val="00D14265"/>
    <w:rsid w:val="00D15360"/>
    <w:rsid w:val="00D15C84"/>
    <w:rsid w:val="00D16686"/>
    <w:rsid w:val="00D2061A"/>
    <w:rsid w:val="00D22E70"/>
    <w:rsid w:val="00D23CD2"/>
    <w:rsid w:val="00D24946"/>
    <w:rsid w:val="00D24A1B"/>
    <w:rsid w:val="00D2500C"/>
    <w:rsid w:val="00D27030"/>
    <w:rsid w:val="00D2771C"/>
    <w:rsid w:val="00D307A8"/>
    <w:rsid w:val="00D309A5"/>
    <w:rsid w:val="00D33998"/>
    <w:rsid w:val="00D339C0"/>
    <w:rsid w:val="00D33DA9"/>
    <w:rsid w:val="00D354E1"/>
    <w:rsid w:val="00D36418"/>
    <w:rsid w:val="00D367DB"/>
    <w:rsid w:val="00D36EBE"/>
    <w:rsid w:val="00D3725D"/>
    <w:rsid w:val="00D377F9"/>
    <w:rsid w:val="00D37D78"/>
    <w:rsid w:val="00D40F36"/>
    <w:rsid w:val="00D414F0"/>
    <w:rsid w:val="00D42036"/>
    <w:rsid w:val="00D427AB"/>
    <w:rsid w:val="00D44071"/>
    <w:rsid w:val="00D44F9A"/>
    <w:rsid w:val="00D4648A"/>
    <w:rsid w:val="00D47762"/>
    <w:rsid w:val="00D47B46"/>
    <w:rsid w:val="00D50093"/>
    <w:rsid w:val="00D506AB"/>
    <w:rsid w:val="00D50C66"/>
    <w:rsid w:val="00D50D0B"/>
    <w:rsid w:val="00D521DC"/>
    <w:rsid w:val="00D54664"/>
    <w:rsid w:val="00D5537F"/>
    <w:rsid w:val="00D57203"/>
    <w:rsid w:val="00D603EC"/>
    <w:rsid w:val="00D606B4"/>
    <w:rsid w:val="00D60B0D"/>
    <w:rsid w:val="00D61611"/>
    <w:rsid w:val="00D621B0"/>
    <w:rsid w:val="00D62B5A"/>
    <w:rsid w:val="00D62B74"/>
    <w:rsid w:val="00D641F9"/>
    <w:rsid w:val="00D6514B"/>
    <w:rsid w:val="00D678B7"/>
    <w:rsid w:val="00D7018B"/>
    <w:rsid w:val="00D70BBB"/>
    <w:rsid w:val="00D70CB1"/>
    <w:rsid w:val="00D737F3"/>
    <w:rsid w:val="00D73BF3"/>
    <w:rsid w:val="00D7467B"/>
    <w:rsid w:val="00D77183"/>
    <w:rsid w:val="00D801B6"/>
    <w:rsid w:val="00D80B87"/>
    <w:rsid w:val="00D81994"/>
    <w:rsid w:val="00D829BB"/>
    <w:rsid w:val="00D83CC7"/>
    <w:rsid w:val="00D87B70"/>
    <w:rsid w:val="00D91DAC"/>
    <w:rsid w:val="00D924CB"/>
    <w:rsid w:val="00D940B7"/>
    <w:rsid w:val="00D948D3"/>
    <w:rsid w:val="00D95B8F"/>
    <w:rsid w:val="00D96692"/>
    <w:rsid w:val="00D96BE1"/>
    <w:rsid w:val="00D97312"/>
    <w:rsid w:val="00DA0953"/>
    <w:rsid w:val="00DA0B5B"/>
    <w:rsid w:val="00DA1ED4"/>
    <w:rsid w:val="00DA29DB"/>
    <w:rsid w:val="00DA4CA6"/>
    <w:rsid w:val="00DA525D"/>
    <w:rsid w:val="00DA56C8"/>
    <w:rsid w:val="00DA57FC"/>
    <w:rsid w:val="00DA6325"/>
    <w:rsid w:val="00DA7123"/>
    <w:rsid w:val="00DB0893"/>
    <w:rsid w:val="00DB2194"/>
    <w:rsid w:val="00DB270B"/>
    <w:rsid w:val="00DB2AD5"/>
    <w:rsid w:val="00DB2B86"/>
    <w:rsid w:val="00DB2C71"/>
    <w:rsid w:val="00DB2E34"/>
    <w:rsid w:val="00DB35CF"/>
    <w:rsid w:val="00DB4AE6"/>
    <w:rsid w:val="00DB52B7"/>
    <w:rsid w:val="00DB5403"/>
    <w:rsid w:val="00DB5459"/>
    <w:rsid w:val="00DB5A9B"/>
    <w:rsid w:val="00DB5BE4"/>
    <w:rsid w:val="00DB5C91"/>
    <w:rsid w:val="00DC0FBE"/>
    <w:rsid w:val="00DC1EE8"/>
    <w:rsid w:val="00DC6185"/>
    <w:rsid w:val="00DC66D7"/>
    <w:rsid w:val="00DC7915"/>
    <w:rsid w:val="00DD0668"/>
    <w:rsid w:val="00DD170F"/>
    <w:rsid w:val="00DD28EE"/>
    <w:rsid w:val="00DD6F57"/>
    <w:rsid w:val="00DD79A8"/>
    <w:rsid w:val="00DE027E"/>
    <w:rsid w:val="00DE05B3"/>
    <w:rsid w:val="00DE0F96"/>
    <w:rsid w:val="00DE166E"/>
    <w:rsid w:val="00DE20E7"/>
    <w:rsid w:val="00DE320C"/>
    <w:rsid w:val="00DE3AC4"/>
    <w:rsid w:val="00DE46E3"/>
    <w:rsid w:val="00DE6CF6"/>
    <w:rsid w:val="00DE7B52"/>
    <w:rsid w:val="00DF03BF"/>
    <w:rsid w:val="00DF216E"/>
    <w:rsid w:val="00DF3179"/>
    <w:rsid w:val="00DF39D4"/>
    <w:rsid w:val="00DF3ACE"/>
    <w:rsid w:val="00DF3E12"/>
    <w:rsid w:val="00DF5C15"/>
    <w:rsid w:val="00DF67B8"/>
    <w:rsid w:val="00E02FEF"/>
    <w:rsid w:val="00E0439F"/>
    <w:rsid w:val="00E04E7E"/>
    <w:rsid w:val="00E05B80"/>
    <w:rsid w:val="00E07C03"/>
    <w:rsid w:val="00E10F78"/>
    <w:rsid w:val="00E115E4"/>
    <w:rsid w:val="00E118A0"/>
    <w:rsid w:val="00E132E6"/>
    <w:rsid w:val="00E13D6C"/>
    <w:rsid w:val="00E142CE"/>
    <w:rsid w:val="00E14E96"/>
    <w:rsid w:val="00E15683"/>
    <w:rsid w:val="00E15B8C"/>
    <w:rsid w:val="00E17055"/>
    <w:rsid w:val="00E219A3"/>
    <w:rsid w:val="00E21F60"/>
    <w:rsid w:val="00E22F62"/>
    <w:rsid w:val="00E241F3"/>
    <w:rsid w:val="00E26063"/>
    <w:rsid w:val="00E305FD"/>
    <w:rsid w:val="00E31831"/>
    <w:rsid w:val="00E334C2"/>
    <w:rsid w:val="00E342DD"/>
    <w:rsid w:val="00E348F8"/>
    <w:rsid w:val="00E35116"/>
    <w:rsid w:val="00E35175"/>
    <w:rsid w:val="00E4054B"/>
    <w:rsid w:val="00E40B78"/>
    <w:rsid w:val="00E42426"/>
    <w:rsid w:val="00E428FB"/>
    <w:rsid w:val="00E4316E"/>
    <w:rsid w:val="00E43184"/>
    <w:rsid w:val="00E43CE6"/>
    <w:rsid w:val="00E43D2B"/>
    <w:rsid w:val="00E44D43"/>
    <w:rsid w:val="00E451A9"/>
    <w:rsid w:val="00E45FF8"/>
    <w:rsid w:val="00E4674E"/>
    <w:rsid w:val="00E46B66"/>
    <w:rsid w:val="00E47614"/>
    <w:rsid w:val="00E51A7C"/>
    <w:rsid w:val="00E51AC1"/>
    <w:rsid w:val="00E52DA9"/>
    <w:rsid w:val="00E53E86"/>
    <w:rsid w:val="00E54102"/>
    <w:rsid w:val="00E549FE"/>
    <w:rsid w:val="00E54CED"/>
    <w:rsid w:val="00E55D64"/>
    <w:rsid w:val="00E56818"/>
    <w:rsid w:val="00E56D9E"/>
    <w:rsid w:val="00E57BEC"/>
    <w:rsid w:val="00E61B6E"/>
    <w:rsid w:val="00E6218D"/>
    <w:rsid w:val="00E623D9"/>
    <w:rsid w:val="00E66972"/>
    <w:rsid w:val="00E66D6E"/>
    <w:rsid w:val="00E67FDC"/>
    <w:rsid w:val="00E71164"/>
    <w:rsid w:val="00E714C8"/>
    <w:rsid w:val="00E71F41"/>
    <w:rsid w:val="00E72CD7"/>
    <w:rsid w:val="00E73D3A"/>
    <w:rsid w:val="00E7419C"/>
    <w:rsid w:val="00E746A4"/>
    <w:rsid w:val="00E74DC9"/>
    <w:rsid w:val="00E74F14"/>
    <w:rsid w:val="00E754E2"/>
    <w:rsid w:val="00E763E0"/>
    <w:rsid w:val="00E77093"/>
    <w:rsid w:val="00E77688"/>
    <w:rsid w:val="00E77B16"/>
    <w:rsid w:val="00E83CF1"/>
    <w:rsid w:val="00E84816"/>
    <w:rsid w:val="00E848C1"/>
    <w:rsid w:val="00E84A03"/>
    <w:rsid w:val="00E859E8"/>
    <w:rsid w:val="00E86070"/>
    <w:rsid w:val="00E913D3"/>
    <w:rsid w:val="00E925B4"/>
    <w:rsid w:val="00E92A00"/>
    <w:rsid w:val="00E931AC"/>
    <w:rsid w:val="00E93588"/>
    <w:rsid w:val="00E936FF"/>
    <w:rsid w:val="00E953B7"/>
    <w:rsid w:val="00E9652D"/>
    <w:rsid w:val="00E96FEC"/>
    <w:rsid w:val="00E971BA"/>
    <w:rsid w:val="00EA0385"/>
    <w:rsid w:val="00EA18AE"/>
    <w:rsid w:val="00EA1BE1"/>
    <w:rsid w:val="00EA1C5B"/>
    <w:rsid w:val="00EA20E0"/>
    <w:rsid w:val="00EA2860"/>
    <w:rsid w:val="00EA5019"/>
    <w:rsid w:val="00EA5727"/>
    <w:rsid w:val="00EB1250"/>
    <w:rsid w:val="00EB3CBF"/>
    <w:rsid w:val="00EB48B5"/>
    <w:rsid w:val="00EB4922"/>
    <w:rsid w:val="00EB57B7"/>
    <w:rsid w:val="00EB5AAE"/>
    <w:rsid w:val="00EB65D8"/>
    <w:rsid w:val="00EB666C"/>
    <w:rsid w:val="00EB6A7D"/>
    <w:rsid w:val="00EB6B8D"/>
    <w:rsid w:val="00EB7E16"/>
    <w:rsid w:val="00EC0D55"/>
    <w:rsid w:val="00EC0E3A"/>
    <w:rsid w:val="00EC1D7C"/>
    <w:rsid w:val="00EC26E3"/>
    <w:rsid w:val="00EC305B"/>
    <w:rsid w:val="00EC54B3"/>
    <w:rsid w:val="00EC5840"/>
    <w:rsid w:val="00EC68D4"/>
    <w:rsid w:val="00EC7C3B"/>
    <w:rsid w:val="00ED0105"/>
    <w:rsid w:val="00ED06DC"/>
    <w:rsid w:val="00ED0EEB"/>
    <w:rsid w:val="00ED332A"/>
    <w:rsid w:val="00ED36B9"/>
    <w:rsid w:val="00ED6EF1"/>
    <w:rsid w:val="00ED7EC4"/>
    <w:rsid w:val="00EE0029"/>
    <w:rsid w:val="00EE0697"/>
    <w:rsid w:val="00EE0A61"/>
    <w:rsid w:val="00EE18F1"/>
    <w:rsid w:val="00EE5791"/>
    <w:rsid w:val="00EE7A7B"/>
    <w:rsid w:val="00EE7CE3"/>
    <w:rsid w:val="00EF05C0"/>
    <w:rsid w:val="00EF196B"/>
    <w:rsid w:val="00EF1B8C"/>
    <w:rsid w:val="00EF1CCB"/>
    <w:rsid w:val="00EF2903"/>
    <w:rsid w:val="00EF2D47"/>
    <w:rsid w:val="00EF3681"/>
    <w:rsid w:val="00EF3E1A"/>
    <w:rsid w:val="00EF50AC"/>
    <w:rsid w:val="00EF50D6"/>
    <w:rsid w:val="00EF6096"/>
    <w:rsid w:val="00F0000F"/>
    <w:rsid w:val="00F0134B"/>
    <w:rsid w:val="00F01A8C"/>
    <w:rsid w:val="00F02755"/>
    <w:rsid w:val="00F0411C"/>
    <w:rsid w:val="00F04622"/>
    <w:rsid w:val="00F04C6D"/>
    <w:rsid w:val="00F07624"/>
    <w:rsid w:val="00F07DE3"/>
    <w:rsid w:val="00F131A2"/>
    <w:rsid w:val="00F14BB4"/>
    <w:rsid w:val="00F16F1C"/>
    <w:rsid w:val="00F209AD"/>
    <w:rsid w:val="00F21E57"/>
    <w:rsid w:val="00F22B51"/>
    <w:rsid w:val="00F2591D"/>
    <w:rsid w:val="00F25D01"/>
    <w:rsid w:val="00F268B8"/>
    <w:rsid w:val="00F26EB0"/>
    <w:rsid w:val="00F31C3C"/>
    <w:rsid w:val="00F33372"/>
    <w:rsid w:val="00F33A63"/>
    <w:rsid w:val="00F3536B"/>
    <w:rsid w:val="00F37022"/>
    <w:rsid w:val="00F375FF"/>
    <w:rsid w:val="00F37DFC"/>
    <w:rsid w:val="00F426CC"/>
    <w:rsid w:val="00F439C6"/>
    <w:rsid w:val="00F43BA9"/>
    <w:rsid w:val="00F43CFB"/>
    <w:rsid w:val="00F45D4A"/>
    <w:rsid w:val="00F4681E"/>
    <w:rsid w:val="00F474D5"/>
    <w:rsid w:val="00F47D1D"/>
    <w:rsid w:val="00F52864"/>
    <w:rsid w:val="00F52EB8"/>
    <w:rsid w:val="00F53F79"/>
    <w:rsid w:val="00F602FC"/>
    <w:rsid w:val="00F612F7"/>
    <w:rsid w:val="00F624FB"/>
    <w:rsid w:val="00F6471B"/>
    <w:rsid w:val="00F64A68"/>
    <w:rsid w:val="00F64F94"/>
    <w:rsid w:val="00F65412"/>
    <w:rsid w:val="00F65FD0"/>
    <w:rsid w:val="00F667CE"/>
    <w:rsid w:val="00F67577"/>
    <w:rsid w:val="00F70859"/>
    <w:rsid w:val="00F70878"/>
    <w:rsid w:val="00F70D7D"/>
    <w:rsid w:val="00F70FFE"/>
    <w:rsid w:val="00F72F3D"/>
    <w:rsid w:val="00F744D9"/>
    <w:rsid w:val="00F74B3A"/>
    <w:rsid w:val="00F75C6B"/>
    <w:rsid w:val="00F76520"/>
    <w:rsid w:val="00F76DA3"/>
    <w:rsid w:val="00F8084E"/>
    <w:rsid w:val="00F82616"/>
    <w:rsid w:val="00F84B6B"/>
    <w:rsid w:val="00F84DDD"/>
    <w:rsid w:val="00F92510"/>
    <w:rsid w:val="00F929B4"/>
    <w:rsid w:val="00F9344D"/>
    <w:rsid w:val="00F97090"/>
    <w:rsid w:val="00FA313B"/>
    <w:rsid w:val="00FA3386"/>
    <w:rsid w:val="00FA4409"/>
    <w:rsid w:val="00FA4884"/>
    <w:rsid w:val="00FB0582"/>
    <w:rsid w:val="00FB2B1F"/>
    <w:rsid w:val="00FB54E9"/>
    <w:rsid w:val="00FB58D7"/>
    <w:rsid w:val="00FB5AB6"/>
    <w:rsid w:val="00FB6B0A"/>
    <w:rsid w:val="00FB755A"/>
    <w:rsid w:val="00FB799E"/>
    <w:rsid w:val="00FC2F73"/>
    <w:rsid w:val="00FC5AF1"/>
    <w:rsid w:val="00FC66B0"/>
    <w:rsid w:val="00FD12D8"/>
    <w:rsid w:val="00FD4B48"/>
    <w:rsid w:val="00FD525E"/>
    <w:rsid w:val="00FD77CD"/>
    <w:rsid w:val="00FD7FE1"/>
    <w:rsid w:val="00FE07C3"/>
    <w:rsid w:val="00FE1D29"/>
    <w:rsid w:val="00FE1F45"/>
    <w:rsid w:val="00FE25E2"/>
    <w:rsid w:val="00FE3033"/>
    <w:rsid w:val="00FE4518"/>
    <w:rsid w:val="00FE4D2C"/>
    <w:rsid w:val="00FE4F40"/>
    <w:rsid w:val="00FE537A"/>
    <w:rsid w:val="00FE59EC"/>
    <w:rsid w:val="00FE5E7D"/>
    <w:rsid w:val="00FE6C88"/>
    <w:rsid w:val="00FF10C1"/>
    <w:rsid w:val="00FF1B82"/>
    <w:rsid w:val="00FF2E3E"/>
    <w:rsid w:val="00FF5190"/>
    <w:rsid w:val="00FF775A"/>
    <w:rsid w:val="00FF7BC0"/>
    <w:rsid w:val="00FF7C5F"/>
    <w:rsid w:val="00FF7F08"/>
    <w:rsid w:val="01E460A0"/>
  </w:rsids>
  <m:mathPr>
    <m:mathFont m:val="Cambria Math"/>
    <m:brkBin m:val="before"/>
    <m:brkBinSub m:val="--"/>
    <m:smallFrac m:val="1"/>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0" w:semiHidden="0" w:name="annotation reference"/>
    <w:lsdException w:uiPriority="99" w:name="line number"/>
    <w:lsdException w:uiPriority="99" w:name="page number"/>
    <w:lsdException w:uiPriority="99" w:name="endnote reference"/>
    <w:lsdException w:unhideWhenUsed="0" w:uiPriority="99" w:name="endnote text"/>
    <w:lsdException w:uiPriority="99" w:name="table of authorities"/>
    <w:lsdException w:uiPriority="99" w:name="macro"/>
    <w:lsdException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qFormat="1" w:uiPriority="99"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1"/>
    <w:basedOn w:val="1"/>
    <w:next w:val="1"/>
    <w:link w:val="48"/>
    <w:qFormat/>
    <w:uiPriority w:val="9"/>
    <w:pPr>
      <w:keepNext/>
      <w:keepLines/>
      <w:spacing w:before="480" w:after="0"/>
      <w:outlineLvl w:val="0"/>
    </w:pPr>
    <w:rPr>
      <w:rFonts w:ascii="Cambria" w:hAnsi="Cambria" w:eastAsia="SimSun"/>
      <w:b/>
      <w:bCs/>
      <w:color w:val="365F91"/>
      <w:sz w:val="28"/>
      <w:szCs w:val="28"/>
    </w:rPr>
  </w:style>
  <w:style w:type="paragraph" w:styleId="3">
    <w:name w:val="heading 2"/>
    <w:basedOn w:val="1"/>
    <w:next w:val="1"/>
    <w:link w:val="49"/>
    <w:unhideWhenUsed/>
    <w:qFormat/>
    <w:uiPriority w:val="9"/>
    <w:pPr>
      <w:keepNext/>
      <w:keepLines/>
      <w:spacing w:before="200" w:after="0"/>
      <w:outlineLvl w:val="1"/>
    </w:pPr>
    <w:rPr>
      <w:rFonts w:ascii="Cambria" w:hAnsi="Cambria" w:eastAsia="SimSun"/>
      <w:b/>
      <w:bCs/>
      <w:color w:val="4F81BD"/>
      <w:sz w:val="26"/>
      <w:szCs w:val="26"/>
    </w:rPr>
  </w:style>
  <w:style w:type="paragraph" w:styleId="4">
    <w:name w:val="heading 3"/>
    <w:basedOn w:val="1"/>
    <w:next w:val="1"/>
    <w:link w:val="50"/>
    <w:unhideWhenUsed/>
    <w:qFormat/>
    <w:uiPriority w:val="9"/>
    <w:pPr>
      <w:keepNext/>
      <w:keepLines/>
      <w:spacing w:before="200" w:after="0"/>
      <w:outlineLvl w:val="2"/>
    </w:pPr>
    <w:rPr>
      <w:rFonts w:ascii="Cambria" w:hAnsi="Cambria" w:eastAsia="SimSun"/>
      <w:b/>
      <w:bCs/>
      <w:color w:val="4F81BD"/>
      <w:sz w:val="20"/>
      <w:szCs w:val="20"/>
    </w:rPr>
  </w:style>
  <w:style w:type="paragraph" w:styleId="5">
    <w:name w:val="heading 4"/>
    <w:basedOn w:val="1"/>
    <w:next w:val="1"/>
    <w:link w:val="51"/>
    <w:unhideWhenUsed/>
    <w:qFormat/>
    <w:uiPriority w:val="9"/>
    <w:pPr>
      <w:keepNext/>
      <w:keepLines/>
      <w:spacing w:before="200" w:after="0"/>
      <w:outlineLvl w:val="3"/>
    </w:pPr>
    <w:rPr>
      <w:rFonts w:ascii="Cambria" w:hAnsi="Cambria" w:eastAsia="SimSun"/>
      <w:b/>
      <w:bCs/>
      <w:i/>
      <w:iCs/>
      <w:color w:val="4F81BD"/>
      <w:sz w:val="20"/>
      <w:szCs w:val="20"/>
    </w:rPr>
  </w:style>
  <w:style w:type="paragraph" w:styleId="6">
    <w:name w:val="heading 5"/>
    <w:basedOn w:val="1"/>
    <w:next w:val="1"/>
    <w:link w:val="52"/>
    <w:semiHidden/>
    <w:unhideWhenUsed/>
    <w:qFormat/>
    <w:uiPriority w:val="9"/>
    <w:pPr>
      <w:spacing w:before="240" w:after="60"/>
      <w:outlineLvl w:val="4"/>
    </w:pPr>
    <w:rPr>
      <w:rFonts w:eastAsia="Times New Roman"/>
      <w:b/>
      <w:bCs/>
      <w:i/>
      <w:iCs/>
      <w:sz w:val="26"/>
      <w:szCs w:val="26"/>
    </w:rPr>
  </w:style>
  <w:style w:type="paragraph" w:styleId="7">
    <w:name w:val="heading 6"/>
    <w:basedOn w:val="1"/>
    <w:next w:val="1"/>
    <w:link w:val="53"/>
    <w:qFormat/>
    <w:uiPriority w:val="0"/>
    <w:pPr>
      <w:keepNext/>
      <w:tabs>
        <w:tab w:val="left" w:pos="1152"/>
      </w:tabs>
      <w:suppressAutoHyphens/>
      <w:spacing w:after="0" w:line="240" w:lineRule="auto"/>
      <w:ind w:left="1152" w:hanging="1152"/>
      <w:outlineLvl w:val="5"/>
    </w:pPr>
    <w:rPr>
      <w:rFonts w:ascii="Times New Roman" w:hAnsi="Times New Roman" w:eastAsia="Times New Roman"/>
      <w:b/>
      <w:bCs/>
      <w:sz w:val="20"/>
      <w:szCs w:val="20"/>
    </w:rPr>
  </w:style>
  <w:style w:type="paragraph" w:styleId="8">
    <w:name w:val="heading 7"/>
    <w:basedOn w:val="1"/>
    <w:next w:val="1"/>
    <w:link w:val="54"/>
    <w:qFormat/>
    <w:uiPriority w:val="0"/>
    <w:pPr>
      <w:keepNext/>
      <w:tabs>
        <w:tab w:val="left" w:pos="1296"/>
        <w:tab w:val="left" w:pos="7980"/>
      </w:tabs>
      <w:suppressAutoHyphens/>
      <w:spacing w:after="0" w:line="240" w:lineRule="auto"/>
      <w:ind w:left="1296" w:hanging="1296"/>
      <w:outlineLvl w:val="6"/>
    </w:pPr>
    <w:rPr>
      <w:rFonts w:ascii="Times New Roman" w:hAnsi="Times New Roman" w:eastAsia="Times New Roman"/>
      <w:b/>
      <w:sz w:val="24"/>
      <w:szCs w:val="20"/>
    </w:rPr>
  </w:style>
  <w:style w:type="paragraph" w:styleId="9">
    <w:name w:val="heading 8"/>
    <w:basedOn w:val="1"/>
    <w:next w:val="1"/>
    <w:link w:val="55"/>
    <w:qFormat/>
    <w:uiPriority w:val="0"/>
    <w:pPr>
      <w:keepNext/>
      <w:tabs>
        <w:tab w:val="left" w:pos="1440"/>
      </w:tabs>
      <w:suppressAutoHyphens/>
      <w:spacing w:after="0" w:line="240" w:lineRule="auto"/>
      <w:ind w:left="1440" w:hanging="1440"/>
      <w:jc w:val="right"/>
      <w:outlineLvl w:val="7"/>
    </w:pPr>
    <w:rPr>
      <w:rFonts w:ascii="Times New Roman" w:hAnsi="Times New Roman" w:eastAsia="Times New Roman"/>
      <w:sz w:val="20"/>
      <w:szCs w:val="20"/>
    </w:rPr>
  </w:style>
  <w:style w:type="paragraph" w:styleId="10">
    <w:name w:val="heading 9"/>
    <w:basedOn w:val="1"/>
    <w:next w:val="1"/>
    <w:link w:val="56"/>
    <w:qFormat/>
    <w:uiPriority w:val="0"/>
    <w:pPr>
      <w:tabs>
        <w:tab w:val="left" w:pos="1584"/>
      </w:tabs>
      <w:spacing w:before="240" w:after="60" w:line="240" w:lineRule="auto"/>
      <w:ind w:left="1584" w:hanging="1584"/>
      <w:jc w:val="both"/>
      <w:outlineLvl w:val="8"/>
    </w:pPr>
    <w:rPr>
      <w:rFonts w:ascii="Arial" w:hAnsi="Arial" w:eastAsia="Times New Roman"/>
      <w:b/>
      <w:i/>
      <w:sz w:val="18"/>
      <w:szCs w:val="20"/>
    </w:rPr>
  </w:style>
  <w:style w:type="character" w:default="1" w:styleId="40">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11">
    <w:name w:val="toc 3"/>
    <w:basedOn w:val="1"/>
    <w:next w:val="1"/>
    <w:unhideWhenUsed/>
    <w:uiPriority w:val="39"/>
    <w:pPr>
      <w:spacing w:after="100"/>
      <w:ind w:left="440"/>
    </w:pPr>
    <w:rPr>
      <w:rFonts w:eastAsia="SimSun"/>
    </w:rPr>
  </w:style>
  <w:style w:type="paragraph" w:styleId="12">
    <w:name w:val="footnote text"/>
    <w:basedOn w:val="1"/>
    <w:link w:val="59"/>
    <w:qFormat/>
    <w:uiPriority w:val="0"/>
    <w:pPr>
      <w:spacing w:after="0" w:line="240" w:lineRule="auto"/>
      <w:jc w:val="both"/>
    </w:pPr>
    <w:rPr>
      <w:rFonts w:ascii="Times New Roman" w:hAnsi="Times New Roman" w:eastAsia="Times New Roman"/>
      <w:sz w:val="20"/>
      <w:szCs w:val="20"/>
    </w:rPr>
  </w:style>
  <w:style w:type="paragraph" w:styleId="13">
    <w:name w:val="toc 9"/>
    <w:basedOn w:val="1"/>
    <w:next w:val="1"/>
    <w:unhideWhenUsed/>
    <w:uiPriority w:val="39"/>
    <w:pPr>
      <w:spacing w:after="100"/>
      <w:ind w:left="1760"/>
    </w:pPr>
    <w:rPr>
      <w:rFonts w:eastAsia="SimSun"/>
    </w:rPr>
  </w:style>
  <w:style w:type="paragraph" w:styleId="14">
    <w:name w:val="toc 7"/>
    <w:basedOn w:val="1"/>
    <w:next w:val="1"/>
    <w:unhideWhenUsed/>
    <w:uiPriority w:val="39"/>
    <w:pPr>
      <w:spacing w:after="100"/>
      <w:ind w:left="1320"/>
    </w:pPr>
    <w:rPr>
      <w:rFonts w:eastAsia="SimSun"/>
    </w:rPr>
  </w:style>
  <w:style w:type="paragraph" w:styleId="15">
    <w:name w:val="toc 1"/>
    <w:basedOn w:val="1"/>
    <w:next w:val="1"/>
    <w:unhideWhenUsed/>
    <w:qFormat/>
    <w:uiPriority w:val="39"/>
    <w:pPr>
      <w:tabs>
        <w:tab w:val="right" w:leader="dot" w:pos="9350"/>
      </w:tabs>
      <w:spacing w:after="100"/>
    </w:pPr>
    <w:rPr>
      <w:b/>
    </w:rPr>
  </w:style>
  <w:style w:type="paragraph" w:styleId="16">
    <w:name w:val="toa heading"/>
    <w:basedOn w:val="1"/>
    <w:next w:val="1"/>
    <w:uiPriority w:val="0"/>
    <w:pPr>
      <w:tabs>
        <w:tab w:val="left" w:pos="9000"/>
        <w:tab w:val="right" w:pos="9360"/>
      </w:tabs>
      <w:suppressAutoHyphens/>
      <w:spacing w:after="0" w:line="240" w:lineRule="auto"/>
      <w:jc w:val="both"/>
    </w:pPr>
    <w:rPr>
      <w:rFonts w:ascii="Times New Roman" w:hAnsi="Times New Roman" w:eastAsia="Times New Roman"/>
      <w:sz w:val="24"/>
      <w:szCs w:val="20"/>
    </w:rPr>
  </w:style>
  <w:style w:type="paragraph" w:styleId="17">
    <w:name w:val="toc 8"/>
    <w:basedOn w:val="1"/>
    <w:next w:val="1"/>
    <w:unhideWhenUsed/>
    <w:uiPriority w:val="39"/>
    <w:pPr>
      <w:spacing w:after="100"/>
      <w:ind w:left="1540"/>
    </w:pPr>
    <w:rPr>
      <w:rFonts w:eastAsia="SimSun"/>
    </w:rPr>
  </w:style>
  <w:style w:type="paragraph" w:styleId="18">
    <w:name w:val="toc 2"/>
    <w:basedOn w:val="1"/>
    <w:next w:val="1"/>
    <w:unhideWhenUsed/>
    <w:qFormat/>
    <w:uiPriority w:val="39"/>
    <w:pPr>
      <w:spacing w:after="100"/>
      <w:ind w:left="220"/>
    </w:pPr>
  </w:style>
  <w:style w:type="paragraph" w:styleId="19">
    <w:name w:val="endnote text"/>
    <w:basedOn w:val="1"/>
    <w:link w:val="91"/>
    <w:semiHidden/>
    <w:uiPriority w:val="99"/>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hAnsi="Times New Roman" w:eastAsia="Times New Roman"/>
      <w:sz w:val="24"/>
      <w:szCs w:val="20"/>
    </w:rPr>
  </w:style>
  <w:style w:type="paragraph" w:styleId="20">
    <w:name w:val="annotation subject"/>
    <w:basedOn w:val="21"/>
    <w:next w:val="21"/>
    <w:link w:val="99"/>
    <w:semiHidden/>
    <w:unhideWhenUsed/>
    <w:uiPriority w:val="99"/>
    <w:pPr>
      <w:spacing w:after="200" w:line="276" w:lineRule="auto"/>
    </w:pPr>
    <w:rPr>
      <w:b/>
      <w:bCs/>
    </w:rPr>
  </w:style>
  <w:style w:type="paragraph" w:styleId="21">
    <w:name w:val="annotation text"/>
    <w:basedOn w:val="1"/>
    <w:link w:val="95"/>
    <w:qFormat/>
    <w:uiPriority w:val="0"/>
    <w:pPr>
      <w:spacing w:after="0" w:line="240" w:lineRule="auto"/>
    </w:pPr>
    <w:rPr>
      <w:rFonts w:ascii="Times New Roman" w:hAnsi="Times New Roman" w:eastAsia="Times New Roman"/>
      <w:sz w:val="20"/>
      <w:szCs w:val="20"/>
    </w:rPr>
  </w:style>
  <w:style w:type="paragraph" w:styleId="22">
    <w:name w:val="Balloon Text"/>
    <w:basedOn w:val="1"/>
    <w:link w:val="57"/>
    <w:semiHidden/>
    <w:unhideWhenUsed/>
    <w:qFormat/>
    <w:uiPriority w:val="99"/>
    <w:pPr>
      <w:spacing w:after="0" w:line="240" w:lineRule="auto"/>
    </w:pPr>
    <w:rPr>
      <w:rFonts w:ascii="Tahoma" w:hAnsi="Tahoma"/>
      <w:sz w:val="16"/>
      <w:szCs w:val="16"/>
    </w:rPr>
  </w:style>
  <w:style w:type="paragraph" w:styleId="23">
    <w:name w:val="toc 6"/>
    <w:basedOn w:val="1"/>
    <w:next w:val="1"/>
    <w:unhideWhenUsed/>
    <w:uiPriority w:val="39"/>
    <w:pPr>
      <w:spacing w:after="100"/>
      <w:ind w:left="1100"/>
    </w:pPr>
    <w:rPr>
      <w:rFonts w:eastAsia="SimSun"/>
    </w:rPr>
  </w:style>
  <w:style w:type="paragraph" w:styleId="24">
    <w:name w:val="toc 5"/>
    <w:basedOn w:val="1"/>
    <w:next w:val="1"/>
    <w:unhideWhenUsed/>
    <w:uiPriority w:val="39"/>
    <w:pPr>
      <w:spacing w:after="100"/>
      <w:ind w:left="880"/>
    </w:pPr>
    <w:rPr>
      <w:rFonts w:eastAsia="SimSun"/>
    </w:rPr>
  </w:style>
  <w:style w:type="paragraph" w:styleId="25">
    <w:name w:val="toc 4"/>
    <w:basedOn w:val="1"/>
    <w:next w:val="1"/>
    <w:unhideWhenUsed/>
    <w:uiPriority w:val="39"/>
    <w:pPr>
      <w:spacing w:after="100"/>
      <w:ind w:left="660"/>
    </w:pPr>
    <w:rPr>
      <w:rFonts w:eastAsia="SimSun"/>
    </w:rPr>
  </w:style>
  <w:style w:type="paragraph" w:styleId="26">
    <w:name w:val="Body Text 2"/>
    <w:basedOn w:val="1"/>
    <w:link w:val="110"/>
    <w:semiHidden/>
    <w:unhideWhenUsed/>
    <w:uiPriority w:val="99"/>
    <w:pPr>
      <w:spacing w:after="120" w:line="480" w:lineRule="auto"/>
    </w:pPr>
  </w:style>
  <w:style w:type="paragraph" w:styleId="27">
    <w:name w:val="header"/>
    <w:basedOn w:val="1"/>
    <w:link w:val="79"/>
    <w:unhideWhenUsed/>
    <w:qFormat/>
    <w:uiPriority w:val="99"/>
    <w:pPr>
      <w:tabs>
        <w:tab w:val="center" w:pos="4680"/>
        <w:tab w:val="right" w:pos="9360"/>
      </w:tabs>
      <w:spacing w:after="0" w:line="240" w:lineRule="auto"/>
    </w:pPr>
  </w:style>
  <w:style w:type="paragraph" w:styleId="28">
    <w:name w:val="HTML Preformatted"/>
    <w:basedOn w:val="1"/>
    <w:link w:val="114"/>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sz w:val="20"/>
      <w:szCs w:val="20"/>
      <w:lang w:val="es-ES" w:eastAsia="zh-CN"/>
    </w:rPr>
  </w:style>
  <w:style w:type="paragraph" w:styleId="29">
    <w:name w:val="Body Text Indent 3"/>
    <w:basedOn w:val="1"/>
    <w:link w:val="72"/>
    <w:qFormat/>
    <w:uiPriority w:val="0"/>
    <w:pPr>
      <w:spacing w:after="0" w:line="240" w:lineRule="auto"/>
      <w:ind w:left="1782" w:hanging="540"/>
    </w:pPr>
    <w:rPr>
      <w:rFonts w:ascii="Times New Roman" w:hAnsi="Times New Roman" w:eastAsia="Times New Roman"/>
      <w:sz w:val="24"/>
      <w:szCs w:val="20"/>
    </w:rPr>
  </w:style>
  <w:style w:type="paragraph" w:styleId="30">
    <w:name w:val="Body Text Indent"/>
    <w:basedOn w:val="1"/>
    <w:link w:val="74"/>
    <w:semiHidden/>
    <w:unhideWhenUsed/>
    <w:qFormat/>
    <w:uiPriority w:val="99"/>
    <w:pPr>
      <w:spacing w:after="120"/>
      <w:ind w:left="360"/>
    </w:pPr>
  </w:style>
  <w:style w:type="paragraph" w:styleId="31">
    <w:name w:val="Normal (Web)"/>
    <w:basedOn w:val="1"/>
    <w:uiPriority w:val="99"/>
    <w:pPr>
      <w:spacing w:before="100" w:beforeAutospacing="1" w:after="100" w:afterAutospacing="1" w:line="240" w:lineRule="auto"/>
    </w:pPr>
    <w:rPr>
      <w:rFonts w:ascii="Arial Unicode MS" w:hAnsi="Arial Unicode MS" w:eastAsia="Arial Unicode MS" w:cs="Arial Unicode MS"/>
      <w:sz w:val="24"/>
      <w:szCs w:val="24"/>
    </w:rPr>
  </w:style>
  <w:style w:type="paragraph" w:styleId="32">
    <w:name w:val="footer"/>
    <w:basedOn w:val="1"/>
    <w:link w:val="80"/>
    <w:unhideWhenUsed/>
    <w:qFormat/>
    <w:uiPriority w:val="99"/>
    <w:pPr>
      <w:tabs>
        <w:tab w:val="center" w:pos="4680"/>
        <w:tab w:val="right" w:pos="9360"/>
      </w:tabs>
      <w:spacing w:after="0" w:line="240" w:lineRule="auto"/>
    </w:pPr>
  </w:style>
  <w:style w:type="paragraph" w:styleId="33">
    <w:name w:val="Body Text Indent 2"/>
    <w:basedOn w:val="1"/>
    <w:link w:val="85"/>
    <w:semiHidden/>
    <w:unhideWhenUsed/>
    <w:qFormat/>
    <w:uiPriority w:val="99"/>
    <w:pPr>
      <w:spacing w:after="120" w:line="480" w:lineRule="auto"/>
      <w:ind w:left="360"/>
    </w:pPr>
  </w:style>
  <w:style w:type="paragraph" w:styleId="34">
    <w:name w:val="Subtitle"/>
    <w:basedOn w:val="1"/>
    <w:link w:val="87"/>
    <w:qFormat/>
    <w:uiPriority w:val="0"/>
    <w:pPr>
      <w:spacing w:after="0" w:line="240" w:lineRule="auto"/>
      <w:jc w:val="center"/>
    </w:pPr>
    <w:rPr>
      <w:rFonts w:ascii="Times New Roman" w:hAnsi="Times New Roman" w:eastAsia="Times New Roman"/>
      <w:b/>
      <w:sz w:val="44"/>
      <w:szCs w:val="20"/>
    </w:rPr>
  </w:style>
  <w:style w:type="paragraph" w:styleId="35">
    <w:name w:val="Block Text"/>
    <w:basedOn w:val="1"/>
    <w:qFormat/>
    <w:uiPriority w:val="0"/>
    <w:pPr>
      <w:tabs>
        <w:tab w:val="left" w:pos="1440"/>
        <w:tab w:val="left" w:pos="1800"/>
      </w:tabs>
      <w:suppressAutoHyphens/>
      <w:spacing w:after="0" w:line="240" w:lineRule="auto"/>
      <w:ind w:left="1080" w:right="-72" w:hanging="540"/>
      <w:jc w:val="both"/>
    </w:pPr>
    <w:rPr>
      <w:rFonts w:ascii="Times New Roman" w:hAnsi="Times New Roman" w:eastAsia="Times New Roman"/>
      <w:sz w:val="24"/>
      <w:szCs w:val="20"/>
    </w:rPr>
  </w:style>
  <w:style w:type="paragraph" w:styleId="36">
    <w:name w:val="Body Text"/>
    <w:basedOn w:val="1"/>
    <w:link w:val="81"/>
    <w:unhideWhenUsed/>
    <w:qFormat/>
    <w:uiPriority w:val="99"/>
    <w:pPr>
      <w:spacing w:after="120"/>
    </w:pPr>
  </w:style>
  <w:style w:type="paragraph" w:styleId="37">
    <w:name w:val="Body Text 3"/>
    <w:basedOn w:val="1"/>
    <w:link w:val="82"/>
    <w:semiHidden/>
    <w:unhideWhenUsed/>
    <w:qFormat/>
    <w:uiPriority w:val="99"/>
    <w:pPr>
      <w:spacing w:after="120"/>
    </w:pPr>
    <w:rPr>
      <w:sz w:val="16"/>
      <w:szCs w:val="16"/>
    </w:rPr>
  </w:style>
  <w:style w:type="paragraph" w:styleId="38">
    <w:name w:val="Body Text First Indent 2"/>
    <w:basedOn w:val="30"/>
    <w:link w:val="112"/>
    <w:semiHidden/>
    <w:unhideWhenUsed/>
    <w:uiPriority w:val="99"/>
    <w:pPr>
      <w:spacing w:line="240" w:lineRule="auto"/>
      <w:ind w:left="283" w:firstLine="210"/>
    </w:pPr>
    <w:rPr>
      <w:rFonts w:ascii="Cambria" w:hAnsi="Cambria" w:eastAsia="Cambria"/>
      <w:sz w:val="24"/>
      <w:szCs w:val="24"/>
      <w:lang/>
    </w:rPr>
  </w:style>
  <w:style w:type="paragraph" w:styleId="39">
    <w:name w:val="Title"/>
    <w:basedOn w:val="1"/>
    <w:link w:val="60"/>
    <w:qFormat/>
    <w:uiPriority w:val="0"/>
    <w:pPr>
      <w:spacing w:after="0" w:line="240" w:lineRule="auto"/>
      <w:jc w:val="center"/>
    </w:pPr>
    <w:rPr>
      <w:rFonts w:ascii="Times New Roman" w:hAnsi="Times New Roman" w:eastAsia="Times New Roman"/>
      <w:b/>
      <w:sz w:val="48"/>
      <w:szCs w:val="20"/>
    </w:rPr>
  </w:style>
  <w:style w:type="character" w:styleId="41">
    <w:name w:val="endnote reference"/>
    <w:semiHidden/>
    <w:unhideWhenUsed/>
    <w:uiPriority w:val="99"/>
    <w:rPr>
      <w:vertAlign w:val="superscript"/>
    </w:rPr>
  </w:style>
  <w:style w:type="character" w:styleId="42">
    <w:name w:val="annotation reference"/>
    <w:unhideWhenUsed/>
    <w:uiPriority w:val="0"/>
    <w:rPr>
      <w:sz w:val="16"/>
      <w:szCs w:val="16"/>
    </w:rPr>
  </w:style>
  <w:style w:type="character" w:styleId="43">
    <w:name w:val="footnote reference"/>
    <w:qFormat/>
    <w:uiPriority w:val="0"/>
    <w:rPr>
      <w:vertAlign w:val="superscript"/>
    </w:rPr>
  </w:style>
  <w:style w:type="character" w:styleId="44">
    <w:name w:val="Hyperlink"/>
    <w:qFormat/>
    <w:uiPriority w:val="99"/>
    <w:rPr>
      <w:color w:val="0000FF"/>
      <w:u w:val="single"/>
    </w:rPr>
  </w:style>
  <w:style w:type="character" w:styleId="45">
    <w:name w:val="FollowedHyperlink"/>
    <w:unhideWhenUsed/>
    <w:uiPriority w:val="99"/>
    <w:rPr>
      <w:color w:val="954F72"/>
      <w:u w:val="single"/>
    </w:rPr>
  </w:style>
  <w:style w:type="table" w:styleId="47">
    <w:name w:val="Table Grid"/>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8">
    <w:name w:val="Título 1 Car"/>
    <w:link w:val="2"/>
    <w:qFormat/>
    <w:uiPriority w:val="9"/>
    <w:rPr>
      <w:rFonts w:ascii="Cambria" w:hAnsi="Cambria" w:eastAsia="SimSun" w:cs="Times New Roman"/>
      <w:b/>
      <w:bCs/>
      <w:color w:val="365F91"/>
      <w:sz w:val="28"/>
      <w:szCs w:val="28"/>
    </w:rPr>
  </w:style>
  <w:style w:type="character" w:customStyle="1" w:styleId="49">
    <w:name w:val="Título 2 Car"/>
    <w:link w:val="3"/>
    <w:qFormat/>
    <w:uiPriority w:val="9"/>
    <w:rPr>
      <w:rFonts w:ascii="Cambria" w:hAnsi="Cambria" w:eastAsia="SimSun" w:cs="Times New Roman"/>
      <w:b/>
      <w:bCs/>
      <w:color w:val="4F81BD"/>
      <w:sz w:val="26"/>
      <w:szCs w:val="26"/>
    </w:rPr>
  </w:style>
  <w:style w:type="character" w:customStyle="1" w:styleId="50">
    <w:name w:val="Título 3 Car"/>
    <w:link w:val="4"/>
    <w:semiHidden/>
    <w:qFormat/>
    <w:uiPriority w:val="9"/>
    <w:rPr>
      <w:rFonts w:ascii="Cambria" w:hAnsi="Cambria" w:eastAsia="SimSun" w:cs="Times New Roman"/>
      <w:b/>
      <w:bCs/>
      <w:color w:val="4F81BD"/>
    </w:rPr>
  </w:style>
  <w:style w:type="character" w:customStyle="1" w:styleId="51">
    <w:name w:val="Título 4 Car"/>
    <w:link w:val="5"/>
    <w:semiHidden/>
    <w:qFormat/>
    <w:uiPriority w:val="9"/>
    <w:rPr>
      <w:rFonts w:ascii="Cambria" w:hAnsi="Cambria" w:eastAsia="SimSun" w:cs="Times New Roman"/>
      <w:b/>
      <w:bCs/>
      <w:i/>
      <w:iCs/>
      <w:color w:val="4F81BD"/>
    </w:rPr>
  </w:style>
  <w:style w:type="character" w:customStyle="1" w:styleId="52">
    <w:name w:val="Título 5 Car"/>
    <w:link w:val="6"/>
    <w:semiHidden/>
    <w:qFormat/>
    <w:uiPriority w:val="9"/>
    <w:rPr>
      <w:rFonts w:ascii="Calibri" w:hAnsi="Calibri" w:eastAsia="Times New Roman" w:cs="Times New Roman"/>
      <w:b/>
      <w:bCs/>
      <w:i/>
      <w:iCs/>
      <w:sz w:val="26"/>
      <w:szCs w:val="26"/>
      <w:lang w:val="en-US" w:eastAsia="en-US"/>
    </w:rPr>
  </w:style>
  <w:style w:type="character" w:customStyle="1" w:styleId="53">
    <w:name w:val="Título 6 Car"/>
    <w:link w:val="7"/>
    <w:qFormat/>
    <w:uiPriority w:val="0"/>
    <w:rPr>
      <w:rFonts w:ascii="Times New Roman" w:hAnsi="Times New Roman" w:eastAsia="Times New Roman" w:cs="Times New Roman"/>
      <w:b/>
      <w:bCs/>
      <w:sz w:val="20"/>
      <w:szCs w:val="20"/>
    </w:rPr>
  </w:style>
  <w:style w:type="character" w:customStyle="1" w:styleId="54">
    <w:name w:val="Título 7 Car"/>
    <w:link w:val="8"/>
    <w:qFormat/>
    <w:uiPriority w:val="0"/>
    <w:rPr>
      <w:rFonts w:ascii="Times New Roman" w:hAnsi="Times New Roman" w:eastAsia="Times New Roman" w:cs="Times New Roman"/>
      <w:b/>
      <w:sz w:val="24"/>
      <w:szCs w:val="20"/>
    </w:rPr>
  </w:style>
  <w:style w:type="character" w:customStyle="1" w:styleId="55">
    <w:name w:val="Título 8 Car"/>
    <w:link w:val="9"/>
    <w:qFormat/>
    <w:uiPriority w:val="0"/>
    <w:rPr>
      <w:rFonts w:ascii="Times New Roman" w:hAnsi="Times New Roman" w:eastAsia="Times New Roman" w:cs="Times New Roman"/>
      <w:sz w:val="20"/>
      <w:szCs w:val="20"/>
    </w:rPr>
  </w:style>
  <w:style w:type="character" w:customStyle="1" w:styleId="56">
    <w:name w:val="Título 9 Car"/>
    <w:link w:val="10"/>
    <w:qFormat/>
    <w:uiPriority w:val="0"/>
    <w:rPr>
      <w:rFonts w:ascii="Arial" w:hAnsi="Arial" w:eastAsia="Times New Roman" w:cs="Times New Roman"/>
      <w:b/>
      <w:i/>
      <w:sz w:val="18"/>
      <w:szCs w:val="20"/>
    </w:rPr>
  </w:style>
  <w:style w:type="character" w:customStyle="1" w:styleId="57">
    <w:name w:val="Texto de globo Car"/>
    <w:link w:val="22"/>
    <w:semiHidden/>
    <w:qFormat/>
    <w:uiPriority w:val="99"/>
    <w:rPr>
      <w:rFonts w:ascii="Tahoma" w:hAnsi="Tahoma" w:cs="Tahoma"/>
      <w:sz w:val="16"/>
      <w:szCs w:val="16"/>
    </w:rPr>
  </w:style>
  <w:style w:type="paragraph" w:customStyle="1" w:styleId="58">
    <w:name w:val="(i)"/>
    <w:basedOn w:val="1"/>
    <w:qFormat/>
    <w:uiPriority w:val="0"/>
    <w:pPr>
      <w:suppressAutoHyphens/>
      <w:spacing w:after="0" w:line="240" w:lineRule="auto"/>
      <w:jc w:val="both"/>
    </w:pPr>
    <w:rPr>
      <w:rFonts w:ascii="Tms Rmn" w:hAnsi="Tms Rmn" w:eastAsia="Times New Roman"/>
      <w:sz w:val="24"/>
      <w:szCs w:val="20"/>
    </w:rPr>
  </w:style>
  <w:style w:type="character" w:customStyle="1" w:styleId="59">
    <w:name w:val="Texto nota pie Car"/>
    <w:link w:val="12"/>
    <w:qFormat/>
    <w:uiPriority w:val="0"/>
    <w:rPr>
      <w:rFonts w:ascii="Times New Roman" w:hAnsi="Times New Roman" w:eastAsia="Times New Roman" w:cs="Times New Roman"/>
      <w:sz w:val="20"/>
      <w:szCs w:val="20"/>
    </w:rPr>
  </w:style>
  <w:style w:type="character" w:customStyle="1" w:styleId="60">
    <w:name w:val="Título Car"/>
    <w:link w:val="39"/>
    <w:qFormat/>
    <w:uiPriority w:val="0"/>
    <w:rPr>
      <w:rFonts w:ascii="Times New Roman" w:hAnsi="Times New Roman" w:eastAsia="Times New Roman" w:cs="Times New Roman"/>
      <w:b/>
      <w:sz w:val="48"/>
      <w:szCs w:val="20"/>
    </w:rPr>
  </w:style>
  <w:style w:type="paragraph" w:customStyle="1" w:styleId="61">
    <w:name w:val="BankNormal"/>
    <w:basedOn w:val="1"/>
    <w:qFormat/>
    <w:uiPriority w:val="0"/>
    <w:pPr>
      <w:spacing w:after="240" w:line="240" w:lineRule="auto"/>
    </w:pPr>
    <w:rPr>
      <w:rFonts w:ascii="Times New Roman" w:hAnsi="Times New Roman" w:eastAsia="Times New Roman"/>
      <w:sz w:val="24"/>
      <w:szCs w:val="20"/>
    </w:rPr>
  </w:style>
  <w:style w:type="paragraph" w:customStyle="1" w:styleId="62">
    <w:name w:val="TOC Heading"/>
    <w:basedOn w:val="2"/>
    <w:next w:val="1"/>
    <w:semiHidden/>
    <w:unhideWhenUsed/>
    <w:qFormat/>
    <w:uiPriority w:val="39"/>
    <w:pPr>
      <w:outlineLvl w:val="9"/>
    </w:pPr>
    <w:rPr>
      <w:lang w:eastAsia="ja-JP"/>
    </w:rPr>
  </w:style>
  <w:style w:type="table" w:customStyle="1" w:styleId="63">
    <w:name w:val="Table Grid1"/>
    <w:basedOn w:val="4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64">
    <w:name w:val="List Paragraph"/>
    <w:basedOn w:val="1"/>
    <w:link w:val="65"/>
    <w:qFormat/>
    <w:uiPriority w:val="34"/>
    <w:pPr>
      <w:ind w:left="720"/>
      <w:contextualSpacing/>
    </w:pPr>
  </w:style>
  <w:style w:type="character" w:customStyle="1" w:styleId="65">
    <w:name w:val="Párrafo de lista Car"/>
    <w:link w:val="64"/>
    <w:qFormat/>
    <w:locked/>
    <w:uiPriority w:val="34"/>
    <w:rPr>
      <w:sz w:val="22"/>
      <w:szCs w:val="22"/>
      <w:lang w:val="en-US" w:eastAsia="en-US"/>
    </w:rPr>
  </w:style>
  <w:style w:type="paragraph" w:customStyle="1" w:styleId="66">
    <w:name w:val="Outline"/>
    <w:basedOn w:val="1"/>
    <w:qFormat/>
    <w:uiPriority w:val="0"/>
    <w:pPr>
      <w:numPr>
        <w:ilvl w:val="0"/>
        <w:numId w:val="1"/>
      </w:numPr>
      <w:spacing w:before="240" w:after="0" w:line="240" w:lineRule="auto"/>
    </w:pPr>
    <w:rPr>
      <w:rFonts w:ascii="Times New Roman" w:hAnsi="Times New Roman" w:eastAsia="Times New Roman"/>
      <w:kern w:val="28"/>
      <w:sz w:val="24"/>
      <w:szCs w:val="20"/>
    </w:rPr>
  </w:style>
  <w:style w:type="paragraph" w:customStyle="1" w:styleId="67">
    <w:name w:val="Outline1"/>
    <w:basedOn w:val="66"/>
    <w:next w:val="68"/>
    <w:qFormat/>
    <w:uiPriority w:val="0"/>
    <w:pPr>
      <w:keepNext/>
      <w:numPr>
        <w:ilvl w:val="1"/>
      </w:numPr>
      <w:tabs>
        <w:tab w:val="left" w:pos="360"/>
      </w:tabs>
      <w:ind w:left="360" w:hanging="360"/>
    </w:pPr>
  </w:style>
  <w:style w:type="paragraph" w:customStyle="1" w:styleId="68">
    <w:name w:val="Outline2"/>
    <w:basedOn w:val="1"/>
    <w:qFormat/>
    <w:uiPriority w:val="0"/>
    <w:pPr>
      <w:numPr>
        <w:ilvl w:val="2"/>
        <w:numId w:val="1"/>
      </w:numPr>
      <w:tabs>
        <w:tab w:val="left" w:pos="864"/>
        <w:tab w:val="clear" w:pos="1728"/>
      </w:tabs>
      <w:spacing w:before="240" w:after="0" w:line="240" w:lineRule="auto"/>
      <w:ind w:left="864" w:hanging="504"/>
    </w:pPr>
    <w:rPr>
      <w:rFonts w:ascii="Times New Roman" w:hAnsi="Times New Roman" w:eastAsia="Times New Roman"/>
      <w:kern w:val="28"/>
      <w:sz w:val="24"/>
      <w:szCs w:val="20"/>
    </w:rPr>
  </w:style>
  <w:style w:type="paragraph" w:customStyle="1" w:styleId="69">
    <w:name w:val="Outline3"/>
    <w:basedOn w:val="1"/>
    <w:qFormat/>
    <w:uiPriority w:val="0"/>
    <w:pPr>
      <w:numPr>
        <w:ilvl w:val="3"/>
        <w:numId w:val="1"/>
      </w:numPr>
      <w:tabs>
        <w:tab w:val="left" w:pos="1368"/>
        <w:tab w:val="clear" w:pos="2304"/>
      </w:tabs>
      <w:spacing w:before="240" w:after="0" w:line="240" w:lineRule="auto"/>
      <w:ind w:left="1368" w:hanging="504"/>
    </w:pPr>
    <w:rPr>
      <w:rFonts w:ascii="Times New Roman" w:hAnsi="Times New Roman" w:eastAsia="Times New Roman"/>
      <w:kern w:val="28"/>
      <w:sz w:val="24"/>
      <w:szCs w:val="20"/>
    </w:rPr>
  </w:style>
  <w:style w:type="paragraph" w:customStyle="1" w:styleId="70">
    <w:name w:val="Normal(i)"/>
    <w:basedOn w:val="1"/>
    <w:qFormat/>
    <w:uiPriority w:val="0"/>
    <w:pPr>
      <w:keepLines/>
      <w:tabs>
        <w:tab w:val="left" w:pos="1843"/>
      </w:tabs>
      <w:spacing w:after="120" w:line="240" w:lineRule="auto"/>
      <w:jc w:val="both"/>
    </w:pPr>
    <w:rPr>
      <w:rFonts w:ascii="Times New Roman" w:hAnsi="Times New Roman" w:eastAsia="Times New Roman"/>
      <w:sz w:val="24"/>
      <w:szCs w:val="20"/>
      <w:lang w:val="en-GB" w:eastAsia="en-GB"/>
    </w:rPr>
  </w:style>
  <w:style w:type="character" w:customStyle="1" w:styleId="71">
    <w:name w:val="DeltaView Insertion"/>
    <w:qFormat/>
    <w:uiPriority w:val="99"/>
    <w:rPr>
      <w:color w:val="0000FF"/>
      <w:u w:val="double"/>
    </w:rPr>
  </w:style>
  <w:style w:type="character" w:customStyle="1" w:styleId="72">
    <w:name w:val="Sangría 3 de t. independiente Car"/>
    <w:link w:val="29"/>
    <w:qFormat/>
    <w:uiPriority w:val="0"/>
    <w:rPr>
      <w:rFonts w:ascii="Times New Roman" w:hAnsi="Times New Roman" w:eastAsia="Times New Roman" w:cs="Times New Roman"/>
      <w:sz w:val="24"/>
      <w:szCs w:val="20"/>
    </w:rPr>
  </w:style>
  <w:style w:type="paragraph" w:customStyle="1" w:styleId="73">
    <w:name w:val="Sub-Clause Text"/>
    <w:basedOn w:val="1"/>
    <w:qFormat/>
    <w:uiPriority w:val="0"/>
    <w:pPr>
      <w:spacing w:before="120" w:after="120" w:line="240" w:lineRule="auto"/>
      <w:jc w:val="both"/>
    </w:pPr>
    <w:rPr>
      <w:rFonts w:ascii="Times New Roman" w:hAnsi="Times New Roman" w:eastAsia="Times New Roman"/>
      <w:spacing w:val="-4"/>
      <w:sz w:val="24"/>
      <w:szCs w:val="20"/>
    </w:rPr>
  </w:style>
  <w:style w:type="character" w:customStyle="1" w:styleId="74">
    <w:name w:val="Sangría de texto normal Car"/>
    <w:basedOn w:val="40"/>
    <w:link w:val="30"/>
    <w:semiHidden/>
    <w:qFormat/>
    <w:uiPriority w:val="99"/>
  </w:style>
  <w:style w:type="paragraph" w:customStyle="1" w:styleId="75">
    <w:name w:val="P3 Header1-Clauses"/>
    <w:basedOn w:val="1"/>
    <w:qFormat/>
    <w:uiPriority w:val="0"/>
    <w:pPr>
      <w:spacing w:before="120" w:after="120" w:line="240" w:lineRule="auto"/>
    </w:pPr>
    <w:rPr>
      <w:rFonts w:ascii="Times New Roman" w:hAnsi="Times New Roman" w:eastAsia="Times New Roman"/>
      <w:sz w:val="24"/>
      <w:szCs w:val="20"/>
    </w:rPr>
  </w:style>
  <w:style w:type="paragraph" w:customStyle="1" w:styleId="76">
    <w:name w:val="Style Header 1 - Clauses + After:  0 pt"/>
    <w:basedOn w:val="1"/>
    <w:qFormat/>
    <w:uiPriority w:val="0"/>
    <w:pPr>
      <w:spacing w:line="240" w:lineRule="auto"/>
      <w:jc w:val="both"/>
    </w:pPr>
    <w:rPr>
      <w:rFonts w:ascii="Times New Roman" w:hAnsi="Times New Roman" w:eastAsia="Times New Roman"/>
      <w:bCs/>
      <w:sz w:val="24"/>
      <w:szCs w:val="20"/>
      <w:lang/>
    </w:rPr>
  </w:style>
  <w:style w:type="paragraph" w:customStyle="1" w:styleId="77">
    <w:name w:val="Style Header 2 - SubClauses + Bold"/>
    <w:basedOn w:val="1"/>
    <w:link w:val="78"/>
    <w:qFormat/>
    <w:uiPriority w:val="0"/>
    <w:pPr>
      <w:tabs>
        <w:tab w:val="left" w:pos="576"/>
      </w:tabs>
      <w:spacing w:line="240" w:lineRule="auto"/>
      <w:ind w:left="612"/>
      <w:jc w:val="both"/>
    </w:pPr>
    <w:rPr>
      <w:rFonts w:ascii="Times New Roman" w:hAnsi="Times New Roman" w:eastAsia="Times New Roman"/>
      <w:b/>
      <w:bCs/>
      <w:sz w:val="24"/>
      <w:szCs w:val="20"/>
      <w:lang/>
    </w:rPr>
  </w:style>
  <w:style w:type="character" w:customStyle="1" w:styleId="78">
    <w:name w:val="Style Header 2 - SubClauses + Bold Char"/>
    <w:link w:val="77"/>
    <w:qFormat/>
    <w:uiPriority w:val="0"/>
    <w:rPr>
      <w:rFonts w:ascii="Times New Roman" w:hAnsi="Times New Roman" w:eastAsia="Times New Roman" w:cs="Times New Roman"/>
      <w:b/>
      <w:bCs/>
      <w:sz w:val="24"/>
      <w:szCs w:val="20"/>
      <w:lang/>
    </w:rPr>
  </w:style>
  <w:style w:type="character" w:customStyle="1" w:styleId="79">
    <w:name w:val="Encabezado Car"/>
    <w:basedOn w:val="40"/>
    <w:link w:val="27"/>
    <w:qFormat/>
    <w:uiPriority w:val="99"/>
  </w:style>
  <w:style w:type="character" w:customStyle="1" w:styleId="80">
    <w:name w:val="Pie de página Car"/>
    <w:basedOn w:val="40"/>
    <w:link w:val="32"/>
    <w:qFormat/>
    <w:uiPriority w:val="99"/>
  </w:style>
  <w:style w:type="character" w:customStyle="1" w:styleId="81">
    <w:name w:val="Texto independiente Car"/>
    <w:basedOn w:val="40"/>
    <w:link w:val="36"/>
    <w:qFormat/>
    <w:uiPriority w:val="99"/>
  </w:style>
  <w:style w:type="character" w:customStyle="1" w:styleId="82">
    <w:name w:val="Texto independiente 3 Car"/>
    <w:link w:val="37"/>
    <w:semiHidden/>
    <w:qFormat/>
    <w:uiPriority w:val="99"/>
    <w:rPr>
      <w:sz w:val="16"/>
      <w:szCs w:val="16"/>
    </w:rPr>
  </w:style>
  <w:style w:type="paragraph" w:customStyle="1" w:styleId="83">
    <w:name w:val="Section V. Header"/>
    <w:basedOn w:val="1"/>
    <w:qFormat/>
    <w:uiPriority w:val="0"/>
    <w:pPr>
      <w:spacing w:after="0" w:line="240" w:lineRule="auto"/>
      <w:jc w:val="center"/>
    </w:pPr>
    <w:rPr>
      <w:rFonts w:ascii="Times New Roman" w:hAnsi="Times New Roman" w:eastAsia="Times New Roman"/>
      <w:b/>
      <w:sz w:val="36"/>
      <w:szCs w:val="20"/>
    </w:rPr>
  </w:style>
  <w:style w:type="paragraph" w:customStyle="1" w:styleId="84">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character" w:customStyle="1" w:styleId="85">
    <w:name w:val="Sangría 2 de t. independiente Car"/>
    <w:basedOn w:val="40"/>
    <w:link w:val="33"/>
    <w:semiHidden/>
    <w:qFormat/>
    <w:uiPriority w:val="99"/>
  </w:style>
  <w:style w:type="paragraph" w:customStyle="1" w:styleId="86">
    <w:name w:val="Section VI. Header"/>
    <w:basedOn w:val="83"/>
    <w:qFormat/>
    <w:uiPriority w:val="0"/>
    <w:pPr>
      <w:spacing w:before="120" w:after="240"/>
    </w:pPr>
  </w:style>
  <w:style w:type="character" w:customStyle="1" w:styleId="87">
    <w:name w:val="Subtítulo Car"/>
    <w:link w:val="34"/>
    <w:uiPriority w:val="0"/>
    <w:rPr>
      <w:rFonts w:ascii="Times New Roman" w:hAnsi="Times New Roman" w:eastAsia="Times New Roman" w:cs="Times New Roman"/>
      <w:b/>
      <w:sz w:val="44"/>
      <w:szCs w:val="20"/>
    </w:rPr>
  </w:style>
  <w:style w:type="paragraph" w:customStyle="1" w:styleId="88">
    <w:name w:val="Document 1"/>
    <w:uiPriority w:val="0"/>
    <w:pPr>
      <w:keepNext/>
      <w:keepLines/>
      <w:tabs>
        <w:tab w:val="left" w:pos="-720"/>
      </w:tabs>
      <w:suppressAutoHyphens/>
    </w:pPr>
    <w:rPr>
      <w:rFonts w:ascii="Courier" w:hAnsi="Courier" w:eastAsia="Times New Roman" w:cs="Times New Roman"/>
      <w:sz w:val="24"/>
      <w:lang w:val="en-US" w:eastAsia="en-US" w:bidi="ar-SA"/>
    </w:rPr>
  </w:style>
  <w:style w:type="paragraph" w:customStyle="1" w:styleId="89">
    <w:name w:val="Section IX Header"/>
    <w:basedOn w:val="1"/>
    <w:uiPriority w:val="0"/>
    <w:pPr>
      <w:spacing w:before="240" w:after="240" w:line="240" w:lineRule="auto"/>
      <w:jc w:val="center"/>
    </w:pPr>
    <w:rPr>
      <w:rFonts w:ascii="Times New Roman Bold" w:hAnsi="Times New Roman Bold" w:eastAsia="Times New Roman"/>
      <w:b/>
      <w:sz w:val="36"/>
      <w:szCs w:val="20"/>
    </w:rPr>
  </w:style>
  <w:style w:type="paragraph" w:customStyle="1" w:styleId="90">
    <w:name w:val="Header 2 - SubClauses"/>
    <w:basedOn w:val="1"/>
    <w:uiPriority w:val="0"/>
    <w:pPr>
      <w:tabs>
        <w:tab w:val="left" w:pos="504"/>
      </w:tabs>
      <w:spacing w:line="240" w:lineRule="auto"/>
      <w:ind w:left="504" w:hanging="504"/>
      <w:jc w:val="both"/>
    </w:pPr>
    <w:rPr>
      <w:rFonts w:ascii="Times New Roman" w:hAnsi="Times New Roman" w:eastAsia="Times New Roman" w:cs="Arial"/>
      <w:sz w:val="24"/>
      <w:szCs w:val="24"/>
    </w:rPr>
  </w:style>
  <w:style w:type="character" w:customStyle="1" w:styleId="91">
    <w:name w:val="Texto nota al final Car"/>
    <w:link w:val="19"/>
    <w:semiHidden/>
    <w:uiPriority w:val="99"/>
    <w:rPr>
      <w:rFonts w:ascii="Times New Roman" w:hAnsi="Times New Roman" w:eastAsia="Times New Roman" w:cs="Times New Roman"/>
      <w:sz w:val="24"/>
      <w:szCs w:val="20"/>
    </w:rPr>
  </w:style>
  <w:style w:type="paragraph" w:customStyle="1" w:styleId="92">
    <w:name w:val="ChapterNumber"/>
    <w:uiPriority w:val="0"/>
    <w:pPr>
      <w:tabs>
        <w:tab w:val="left" w:pos="-720"/>
      </w:tabs>
      <w:suppressAutoHyphens/>
    </w:pPr>
    <w:rPr>
      <w:rFonts w:ascii="CG Times" w:hAnsi="CG Times" w:eastAsia="Times New Roman" w:cs="Times New Roman"/>
      <w:sz w:val="22"/>
      <w:lang w:val="en-US" w:eastAsia="en-US" w:bidi="ar-SA"/>
    </w:rPr>
  </w:style>
  <w:style w:type="paragraph" w:customStyle="1" w:styleId="93">
    <w:name w:val="Text Box"/>
    <w:uiPriority w:val="0"/>
    <w:pPr>
      <w:keepNext/>
      <w:keepLines/>
      <w:tabs>
        <w:tab w:val="left" w:pos="-720"/>
      </w:tabs>
      <w:suppressAutoHyphens/>
      <w:jc w:val="both"/>
    </w:pPr>
    <w:rPr>
      <w:rFonts w:ascii="Times New Roman" w:hAnsi="Times New Roman" w:eastAsia="Times New Roman" w:cs="Times New Roman"/>
      <w:spacing w:val="-2"/>
      <w:sz w:val="22"/>
      <w:lang w:val="en-US" w:eastAsia="en-US" w:bidi="ar-SA"/>
    </w:rPr>
  </w:style>
  <w:style w:type="paragraph" w:customStyle="1" w:styleId="94">
    <w:name w:val="Heading 1a"/>
    <w:uiPriority w:val="0"/>
    <w:pPr>
      <w:keepNext/>
      <w:keepLines/>
      <w:tabs>
        <w:tab w:val="left" w:pos="-720"/>
      </w:tabs>
      <w:suppressAutoHyphens/>
      <w:jc w:val="center"/>
    </w:pPr>
    <w:rPr>
      <w:rFonts w:ascii="Times New Roman" w:hAnsi="Times New Roman" w:eastAsia="Times New Roman" w:cs="Times New Roman"/>
      <w:b/>
      <w:smallCaps/>
      <w:sz w:val="32"/>
      <w:lang w:val="en-US" w:eastAsia="en-US" w:bidi="ar-SA"/>
    </w:rPr>
  </w:style>
  <w:style w:type="character" w:customStyle="1" w:styleId="95">
    <w:name w:val="Texto comentario Car"/>
    <w:link w:val="21"/>
    <w:uiPriority w:val="0"/>
    <w:rPr>
      <w:rFonts w:ascii="Times New Roman" w:hAnsi="Times New Roman" w:eastAsia="Times New Roman" w:cs="Times New Roman"/>
      <w:sz w:val="20"/>
      <w:szCs w:val="20"/>
    </w:rPr>
  </w:style>
  <w:style w:type="paragraph" w:customStyle="1" w:styleId="96">
    <w:name w:val="2AutoList1"/>
    <w:basedOn w:val="1"/>
    <w:uiPriority w:val="0"/>
    <w:pPr>
      <w:spacing w:after="0" w:line="240" w:lineRule="auto"/>
    </w:pPr>
    <w:rPr>
      <w:rFonts w:ascii="Times New Roman" w:hAnsi="Times New Roman" w:eastAsia="Times New Roman"/>
      <w:sz w:val="24"/>
      <w:szCs w:val="20"/>
      <w:lang/>
    </w:rPr>
  </w:style>
  <w:style w:type="paragraph" w:customStyle="1" w:styleId="97">
    <w:name w:val="Encabezado1"/>
    <w:basedOn w:val="1"/>
    <w:next w:val="36"/>
    <w:uiPriority w:val="0"/>
    <w:pPr>
      <w:suppressAutoHyphens/>
      <w:spacing w:after="0" w:line="240" w:lineRule="auto"/>
      <w:jc w:val="center"/>
    </w:pPr>
    <w:rPr>
      <w:rFonts w:ascii="Times New Roman" w:hAnsi="Times New Roman" w:eastAsia="Times New Roman"/>
      <w:spacing w:val="42"/>
      <w:sz w:val="36"/>
      <w:szCs w:val="24"/>
      <w:lang w:eastAsia="zh-CN"/>
    </w:rPr>
  </w:style>
  <w:style w:type="paragraph" w:customStyle="1" w:styleId="98">
    <w:name w:val="titulo"/>
    <w:basedOn w:val="6"/>
    <w:uiPriority w:val="0"/>
    <w:pPr>
      <w:spacing w:before="0" w:after="240" w:line="240" w:lineRule="auto"/>
      <w:jc w:val="center"/>
    </w:pPr>
    <w:rPr>
      <w:rFonts w:ascii="Times New Roman Bold" w:hAnsi="Times New Roman Bold"/>
      <w:bCs w:val="0"/>
      <w:i w:val="0"/>
      <w:iCs w:val="0"/>
      <w:sz w:val="24"/>
      <w:szCs w:val="20"/>
    </w:rPr>
  </w:style>
  <w:style w:type="character" w:customStyle="1" w:styleId="99">
    <w:name w:val="Asunto del comentario Car"/>
    <w:link w:val="20"/>
    <w:semiHidden/>
    <w:uiPriority w:val="99"/>
    <w:rPr>
      <w:rFonts w:ascii="Times New Roman" w:hAnsi="Times New Roman" w:eastAsia="Times New Roman" w:cs="Times New Roman"/>
      <w:b/>
      <w:bCs/>
      <w:sz w:val="20"/>
      <w:szCs w:val="20"/>
      <w:lang w:val="en-US" w:eastAsia="en-US"/>
    </w:rPr>
  </w:style>
  <w:style w:type="paragraph" w:customStyle="1" w:styleId="100">
    <w:name w:val="List Paragraph2"/>
    <w:basedOn w:val="1"/>
    <w:uiPriority w:val="0"/>
    <w:pPr>
      <w:suppressAutoHyphens/>
      <w:spacing w:after="0" w:line="240" w:lineRule="auto"/>
      <w:ind w:left="720"/>
      <w:jc w:val="both"/>
    </w:pPr>
    <w:rPr>
      <w:rFonts w:ascii="Times New Roman" w:hAnsi="Times New Roman" w:eastAsia="Times New Roman"/>
      <w:sz w:val="24"/>
      <w:szCs w:val="20"/>
      <w:lang w:val="es-AR" w:eastAsia="zh-CN"/>
    </w:rPr>
  </w:style>
  <w:style w:type="paragraph" w:customStyle="1" w:styleId="101">
    <w:name w:val="Revision"/>
    <w:hidden/>
    <w:semiHidden/>
    <w:uiPriority w:val="99"/>
    <w:rPr>
      <w:rFonts w:ascii="Calibri" w:hAnsi="Calibri" w:eastAsia="Calibri" w:cs="Times New Roman"/>
      <w:sz w:val="22"/>
      <w:szCs w:val="22"/>
      <w:lang w:val="en-US" w:eastAsia="en-US" w:bidi="ar-SA"/>
    </w:rPr>
  </w:style>
  <w:style w:type="paragraph" w:customStyle="1" w:styleId="102">
    <w:name w:val="Text body"/>
    <w:basedOn w:val="1"/>
    <w:uiPriority w:val="0"/>
    <w:pPr>
      <w:widowControl w:val="0"/>
      <w:suppressAutoHyphens/>
      <w:autoSpaceDN w:val="0"/>
      <w:spacing w:after="120" w:line="240" w:lineRule="auto"/>
      <w:textAlignment w:val="baseline"/>
    </w:pPr>
    <w:rPr>
      <w:rFonts w:ascii="Times New Roman" w:hAnsi="Times New Roman" w:cs="Mangal"/>
      <w:kern w:val="3"/>
      <w:sz w:val="24"/>
      <w:szCs w:val="24"/>
      <w:lang w:val="es-EC" w:eastAsia="zh-CN" w:bidi="hi-IN"/>
    </w:rPr>
  </w:style>
  <w:style w:type="character" w:customStyle="1" w:styleId="103">
    <w:name w:val="Título 3 Car1"/>
    <w:uiPriority w:val="0"/>
    <w:rPr>
      <w:rFonts w:ascii="Arial" w:hAnsi="Arial" w:eastAsia="Times New Roman" w:cs="Times New Roman"/>
      <w:b/>
      <w:bCs/>
      <w:spacing w:val="-2"/>
      <w:sz w:val="26"/>
      <w:szCs w:val="26"/>
      <w:lang w:val="es-ES" w:eastAsia="es-ES"/>
    </w:rPr>
  </w:style>
  <w:style w:type="paragraph" w:customStyle="1" w:styleId="104">
    <w:name w:val="Chapter"/>
    <w:basedOn w:val="1"/>
    <w:next w:val="1"/>
    <w:uiPriority w:val="0"/>
    <w:pPr>
      <w:numPr>
        <w:ilvl w:val="0"/>
        <w:numId w:val="2"/>
      </w:numPr>
      <w:tabs>
        <w:tab w:val="left" w:pos="1440"/>
      </w:tabs>
      <w:spacing w:after="240" w:line="240" w:lineRule="auto"/>
      <w:jc w:val="center"/>
    </w:pPr>
    <w:rPr>
      <w:rFonts w:ascii="Times New Roman" w:hAnsi="Times New Roman" w:eastAsia="Times New Roman"/>
      <w:b/>
      <w:smallCaps/>
      <w:sz w:val="24"/>
      <w:szCs w:val="20"/>
    </w:rPr>
  </w:style>
  <w:style w:type="paragraph" w:customStyle="1" w:styleId="105">
    <w:name w:val="Paragraph"/>
    <w:basedOn w:val="30"/>
    <w:link w:val="106"/>
    <w:uiPriority w:val="0"/>
    <w:pPr>
      <w:numPr>
        <w:ilvl w:val="1"/>
        <w:numId w:val="2"/>
      </w:numPr>
      <w:spacing w:before="120" w:line="240" w:lineRule="auto"/>
      <w:jc w:val="both"/>
      <w:outlineLvl w:val="1"/>
    </w:pPr>
    <w:rPr>
      <w:rFonts w:ascii="Times New Roman" w:hAnsi="Times New Roman" w:eastAsia="Times New Roman"/>
      <w:sz w:val="24"/>
      <w:szCs w:val="20"/>
      <w:lang/>
    </w:rPr>
  </w:style>
  <w:style w:type="character" w:customStyle="1" w:styleId="106">
    <w:name w:val="Paragraph Char"/>
    <w:link w:val="105"/>
    <w:locked/>
    <w:uiPriority w:val="0"/>
    <w:rPr>
      <w:rFonts w:ascii="Times New Roman" w:hAnsi="Times New Roman" w:eastAsia="Times New Roman"/>
      <w:sz w:val="24"/>
      <w:lang w:eastAsia="en-US"/>
    </w:rPr>
  </w:style>
  <w:style w:type="paragraph" w:customStyle="1" w:styleId="107">
    <w:name w:val="subpar"/>
    <w:basedOn w:val="29"/>
    <w:uiPriority w:val="0"/>
    <w:pPr>
      <w:numPr>
        <w:ilvl w:val="2"/>
        <w:numId w:val="2"/>
      </w:numPr>
      <w:spacing w:before="120" w:after="120"/>
      <w:jc w:val="both"/>
      <w:outlineLvl w:val="2"/>
    </w:pPr>
  </w:style>
  <w:style w:type="paragraph" w:customStyle="1" w:styleId="108">
    <w:name w:val="SubSubPar"/>
    <w:basedOn w:val="107"/>
    <w:uiPriority w:val="0"/>
    <w:pPr>
      <w:numPr>
        <w:ilvl w:val="3"/>
      </w:numPr>
      <w:ind w:left="7452" w:hanging="432"/>
    </w:pPr>
  </w:style>
  <w:style w:type="paragraph" w:customStyle="1" w:styleId="109">
    <w:name w:val="Normal + Left:  0&quot;"/>
    <w:basedOn w:val="26"/>
    <w:link w:val="111"/>
    <w:uiPriority w:val="0"/>
    <w:pPr>
      <w:spacing w:before="120" w:line="240" w:lineRule="auto"/>
      <w:ind w:left="432" w:hanging="432"/>
      <w:jc w:val="both"/>
    </w:pPr>
    <w:rPr>
      <w:rFonts w:ascii="Times New Roman" w:hAnsi="Times New Roman" w:eastAsia="Times New Roman"/>
      <w:b/>
      <w:sz w:val="24"/>
      <w:szCs w:val="24"/>
      <w:lang/>
    </w:rPr>
  </w:style>
  <w:style w:type="character" w:customStyle="1" w:styleId="110">
    <w:name w:val="Texto independiente 2 Car"/>
    <w:link w:val="26"/>
    <w:semiHidden/>
    <w:uiPriority w:val="99"/>
    <w:rPr>
      <w:sz w:val="22"/>
      <w:szCs w:val="22"/>
      <w:lang w:eastAsia="en-US"/>
    </w:rPr>
  </w:style>
  <w:style w:type="character" w:customStyle="1" w:styleId="111">
    <w:name w:val="Normal + Left:  0&quot; Char"/>
    <w:link w:val="109"/>
    <w:uiPriority w:val="0"/>
    <w:rPr>
      <w:rFonts w:ascii="Times New Roman" w:hAnsi="Times New Roman" w:eastAsia="Times New Roman"/>
      <w:b/>
      <w:sz w:val="24"/>
      <w:szCs w:val="24"/>
      <w:lang w:eastAsia="en-US"/>
    </w:rPr>
  </w:style>
  <w:style w:type="character" w:customStyle="1" w:styleId="112">
    <w:name w:val="Texto independiente primera sangría 2 Car"/>
    <w:link w:val="38"/>
    <w:semiHidden/>
    <w:uiPriority w:val="99"/>
    <w:rPr>
      <w:rFonts w:ascii="Cambria" w:hAnsi="Cambria" w:eastAsia="Cambria"/>
      <w:sz w:val="24"/>
      <w:szCs w:val="24"/>
      <w:lang w:eastAsia="en-US"/>
    </w:rPr>
  </w:style>
  <w:style w:type="paragraph" w:customStyle="1" w:styleId="113">
    <w:name w:val="Predeterminado"/>
    <w:uiPriority w:val="0"/>
    <w:pPr>
      <w:widowControl w:val="0"/>
      <w:tabs>
        <w:tab w:val="left" w:pos="709"/>
      </w:tabs>
      <w:suppressAutoHyphens/>
      <w:spacing w:after="160" w:line="259" w:lineRule="auto"/>
    </w:pPr>
    <w:rPr>
      <w:rFonts w:ascii="Times New Roman" w:hAnsi="Times New Roman" w:eastAsia="Droid Sans" w:cs="Lohit Hindi"/>
      <w:color w:val="00000A"/>
      <w:sz w:val="24"/>
      <w:szCs w:val="24"/>
      <w:lang w:val="es-EC" w:eastAsia="zh-CN" w:bidi="hi-IN"/>
    </w:rPr>
  </w:style>
  <w:style w:type="character" w:customStyle="1" w:styleId="114">
    <w:name w:val="HTML con formato previo Car"/>
    <w:link w:val="28"/>
    <w:uiPriority w:val="0"/>
    <w:rPr>
      <w:rFonts w:ascii="Courier New" w:hAnsi="Courier New" w:eastAsia="Times New Roman"/>
      <w:lang w:val="es-ES" w:eastAsia="zh-CN"/>
    </w:rPr>
  </w:style>
  <w:style w:type="paragraph" w:customStyle="1" w:styleId="115">
    <w:name w:val="s33"/>
    <w:basedOn w:val="1"/>
    <w:uiPriority w:val="0"/>
    <w:pPr>
      <w:spacing w:before="100" w:beforeAutospacing="1" w:after="100" w:afterAutospacing="1" w:line="240" w:lineRule="auto"/>
    </w:pPr>
    <w:rPr>
      <w:rFonts w:ascii="Times New Roman" w:hAnsi="Times New Roman" w:eastAsia="Times New Roman"/>
      <w:sz w:val="24"/>
      <w:szCs w:val="24"/>
      <w:lang w:val="es-EC" w:eastAsia="es-EC"/>
    </w:rPr>
  </w:style>
  <w:style w:type="character" w:customStyle="1" w:styleId="116">
    <w:name w:val="s23"/>
    <w:uiPriority w:val="0"/>
  </w:style>
  <w:style w:type="character" w:customStyle="1" w:styleId="117">
    <w:name w:val="s21"/>
    <w:uiPriority w:val="0"/>
  </w:style>
  <w:style w:type="character" w:customStyle="1" w:styleId="118">
    <w:name w:val="s22"/>
    <w:uiPriority w:val="0"/>
  </w:style>
  <w:style w:type="character" w:customStyle="1" w:styleId="119">
    <w:name w:val="Sin espaciado Car"/>
    <w:link w:val="120"/>
    <w:locked/>
    <w:uiPriority w:val="1"/>
    <w:rPr>
      <w:sz w:val="21"/>
      <w:lang w:val="en-US" w:eastAsia="es-ES" w:bidi="ar-SA"/>
    </w:rPr>
  </w:style>
  <w:style w:type="paragraph" w:styleId="120">
    <w:name w:val="No Spacing"/>
    <w:link w:val="119"/>
    <w:qFormat/>
    <w:uiPriority w:val="1"/>
    <w:rPr>
      <w:rFonts w:ascii="Calibri" w:hAnsi="Calibri" w:eastAsia="Calibri" w:cs="Times New Roman"/>
      <w:sz w:val="21"/>
      <w:lang w:val="en-US" w:eastAsia="es-ES" w:bidi="ar-SA"/>
    </w:rPr>
  </w:style>
  <w:style w:type="character" w:customStyle="1" w:styleId="121">
    <w:name w:val="Normal 2 Car"/>
    <w:link w:val="122"/>
    <w:locked/>
    <w:uiPriority w:val="0"/>
    <w:rPr>
      <w:color w:val="000000"/>
      <w:sz w:val="21"/>
      <w:lang w:val="es-ES" w:eastAsia="es-ES"/>
    </w:rPr>
  </w:style>
  <w:style w:type="paragraph" w:customStyle="1" w:styleId="122">
    <w:name w:val="Normal 2"/>
    <w:basedOn w:val="1"/>
    <w:link w:val="121"/>
    <w:qFormat/>
    <w:uiPriority w:val="0"/>
    <w:pPr>
      <w:spacing w:after="0"/>
      <w:jc w:val="both"/>
    </w:pPr>
    <w:rPr>
      <w:color w:val="000000"/>
      <w:sz w:val="21"/>
      <w:szCs w:val="20"/>
      <w:lang w:val="es-ES" w:eastAsia="es-ES"/>
    </w:rPr>
  </w:style>
  <w:style w:type="paragraph" w:customStyle="1" w:styleId="123">
    <w:name w:val="Tabla'"/>
    <w:basedOn w:val="1"/>
    <w:link w:val="124"/>
    <w:qFormat/>
    <w:uiPriority w:val="0"/>
    <w:pPr>
      <w:spacing w:before="20" w:after="20" w:line="240" w:lineRule="auto"/>
      <w:jc w:val="both"/>
    </w:pPr>
    <w:rPr>
      <w:rFonts w:eastAsia="Times New Roman"/>
      <w:color w:val="000000"/>
      <w:lang w:val="es-ES" w:eastAsia="es-ES"/>
    </w:rPr>
  </w:style>
  <w:style w:type="character" w:customStyle="1" w:styleId="124">
    <w:name w:val="Tabla' Car"/>
    <w:link w:val="123"/>
    <w:uiPriority w:val="0"/>
    <w:rPr>
      <w:rFonts w:eastAsia="Times New Roman" w:cs="Calibri"/>
      <w:color w:val="000000"/>
      <w:sz w:val="22"/>
      <w:szCs w:val="22"/>
      <w:lang w:val="es-ES" w:eastAsia="es-ES"/>
    </w:rPr>
  </w:style>
  <w:style w:type="character" w:customStyle="1" w:styleId="125">
    <w:name w:val="Título 6 Car1"/>
    <w:semiHidden/>
    <w:uiPriority w:val="9"/>
    <w:rPr>
      <w:rFonts w:ascii="Calibri" w:hAnsi="Calibri" w:eastAsia="Times New Roman" w:cs="Times New Roman"/>
      <w:b/>
      <w:bCs/>
      <w:sz w:val="22"/>
      <w:szCs w:val="22"/>
      <w:lang w:eastAsia="en-US"/>
    </w:rPr>
  </w:style>
  <w:style w:type="character" w:customStyle="1" w:styleId="126">
    <w:name w:val="Título 8 Car1"/>
    <w:semiHidden/>
    <w:uiPriority w:val="9"/>
    <w:rPr>
      <w:rFonts w:ascii="Calibri" w:hAnsi="Calibri" w:eastAsia="Times New Roman" w:cs="Times New Roman"/>
      <w:i/>
      <w:iCs/>
      <w:sz w:val="24"/>
      <w:szCs w:val="24"/>
      <w:lang w:eastAsia="en-US"/>
    </w:rPr>
  </w:style>
  <w:style w:type="character" w:customStyle="1" w:styleId="127">
    <w:name w:val="Título 9 Car1"/>
    <w:semiHidden/>
    <w:uiPriority w:val="9"/>
    <w:rPr>
      <w:rFonts w:ascii="Cambria" w:hAnsi="Cambria" w:eastAsia="Times New Roman" w:cs="Times New Roman"/>
      <w:sz w:val="22"/>
      <w:szCs w:val="22"/>
      <w:lang w:eastAsia="en-US"/>
    </w:rPr>
  </w:style>
  <w:style w:type="table" w:customStyle="1" w:styleId="128">
    <w:name w:val="Tabla de cuadrícula 5 oscura - Énfasis 11"/>
    <w:basedOn w:val="46"/>
    <w:uiPriority w:val="50"/>
    <w:rPr>
      <w:sz w:val="22"/>
      <w:szCs w:val="22"/>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cPr>
      <w:shd w:val="clear" w:color="auto" w:fill="DEEAF6"/>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5B9BD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5B9BD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5B9BD5"/>
      </w:tcPr>
    </w:tblStylePr>
    <w:tblStylePr w:type="band1Vert">
      <w:tcPr>
        <w:shd w:val="clear" w:color="auto" w:fill="BDD6EE"/>
      </w:tcPr>
    </w:tblStylePr>
    <w:tblStylePr w:type="band1Horz">
      <w:tcPr>
        <w:shd w:val="clear" w:color="auto" w:fill="BDD6EE"/>
      </w:tcPr>
    </w:tblStylePr>
  </w:style>
  <w:style w:type="table" w:customStyle="1" w:styleId="129">
    <w:name w:val="Tabla de cuadrícula 1 clara1"/>
    <w:basedOn w:val="46"/>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paragraph" w:customStyle="1" w:styleId="130">
    <w:name w:val="font5"/>
    <w:basedOn w:val="1"/>
    <w:uiPriority w:val="0"/>
    <w:pPr>
      <w:spacing w:before="100" w:beforeAutospacing="1" w:after="100" w:afterAutospacing="1" w:line="240" w:lineRule="auto"/>
    </w:pPr>
    <w:rPr>
      <w:rFonts w:eastAsia="Times New Roman" w:cs="Calibri"/>
      <w:b/>
      <w:bCs/>
      <w:color w:val="212121"/>
      <w:lang w:val="es-EC" w:eastAsia="es-EC"/>
    </w:rPr>
  </w:style>
  <w:style w:type="paragraph" w:customStyle="1" w:styleId="131">
    <w:name w:val="font6"/>
    <w:basedOn w:val="1"/>
    <w:uiPriority w:val="0"/>
    <w:pPr>
      <w:spacing w:before="100" w:beforeAutospacing="1" w:after="100" w:afterAutospacing="1" w:line="240" w:lineRule="auto"/>
    </w:pPr>
    <w:rPr>
      <w:rFonts w:ascii="Symbol" w:hAnsi="Symbol" w:eastAsia="Times New Roman"/>
      <w:b/>
      <w:bCs/>
      <w:color w:val="212121"/>
      <w:lang w:val="es-EC" w:eastAsia="es-EC"/>
    </w:rPr>
  </w:style>
  <w:style w:type="paragraph" w:customStyle="1" w:styleId="132">
    <w:name w:val="font7"/>
    <w:basedOn w:val="1"/>
    <w:uiPriority w:val="0"/>
    <w:pPr>
      <w:spacing w:before="100" w:beforeAutospacing="1" w:after="100" w:afterAutospacing="1" w:line="240" w:lineRule="auto"/>
    </w:pPr>
    <w:rPr>
      <w:rFonts w:eastAsia="Times New Roman" w:cs="Calibri"/>
      <w:b/>
      <w:bCs/>
      <w:i/>
      <w:iCs/>
      <w:color w:val="0066CC"/>
      <w:lang w:val="es-EC" w:eastAsia="es-EC"/>
    </w:rPr>
  </w:style>
  <w:style w:type="paragraph" w:customStyle="1" w:styleId="133">
    <w:name w:val="font8"/>
    <w:basedOn w:val="1"/>
    <w:uiPriority w:val="0"/>
    <w:pPr>
      <w:spacing w:before="100" w:beforeAutospacing="1" w:after="100" w:afterAutospacing="1" w:line="240" w:lineRule="auto"/>
    </w:pPr>
    <w:rPr>
      <w:rFonts w:eastAsia="Times New Roman" w:cs="Calibri"/>
      <w:i/>
      <w:iCs/>
      <w:color w:val="212121"/>
      <w:lang w:val="es-EC" w:eastAsia="es-EC"/>
    </w:rPr>
  </w:style>
  <w:style w:type="paragraph" w:customStyle="1" w:styleId="134">
    <w:name w:val="xl68"/>
    <w:basedOn w:val="1"/>
    <w:uiPriority w:val="0"/>
    <w:pPr>
      <w:pBdr>
        <w:left w:val="single" w:color="auto" w:sz="4" w:space="0"/>
        <w:right w:val="single" w:color="auto" w:sz="4" w:space="0"/>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135">
    <w:name w:val="xl69"/>
    <w:basedOn w:val="1"/>
    <w:uiPriority w:val="0"/>
    <w:pPr>
      <w:pBdr>
        <w:left w:val="single" w:color="auto" w:sz="4" w:space="0"/>
        <w:right w:val="single" w:color="auto" w:sz="4" w:space="0"/>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136">
    <w:name w:val="xl70"/>
    <w:basedOn w:val="1"/>
    <w:uiPriority w:val="0"/>
    <w:pPr>
      <w:pBdr>
        <w:left w:val="single" w:color="auto" w:sz="4" w:space="0"/>
        <w:bottom w:val="double" w:color="auto" w:sz="6" w:space="0"/>
        <w:right w:val="single" w:color="auto" w:sz="4" w:space="0"/>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137">
    <w:name w:val="xl71"/>
    <w:basedOn w:val="1"/>
    <w:uiPriority w:val="0"/>
    <w:pPr>
      <w:pBdr>
        <w:top w:val="single" w:color="auto" w:sz="8" w:space="0"/>
        <w:left w:val="single" w:color="auto" w:sz="4" w:space="0"/>
        <w:right w:val="single" w:color="auto" w:sz="4" w:space="0"/>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138">
    <w:name w:val="xl72"/>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139">
    <w:name w:val="xl73"/>
    <w:basedOn w:val="1"/>
    <w:uiPriority w:val="0"/>
    <w:pPr>
      <w:pBdr>
        <w:left w:val="single" w:color="auto" w:sz="4" w:space="0"/>
        <w:bottom w:val="double" w:color="auto" w:sz="6" w:space="0"/>
        <w:right w:val="single" w:color="auto" w:sz="4" w:space="0"/>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140">
    <w:name w:val="xl74"/>
    <w:basedOn w:val="1"/>
    <w:uiPriority w:val="0"/>
    <w:pPr>
      <w:pBdr>
        <w:top w:val="single" w:color="auto" w:sz="8" w:space="0"/>
        <w:left w:val="single" w:color="auto" w:sz="4" w:space="0"/>
        <w:right w:val="double" w:color="auto" w:sz="6" w:space="0"/>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141">
    <w:name w:val="xl75"/>
    <w:basedOn w:val="1"/>
    <w:uiPriority w:val="0"/>
    <w:pPr>
      <w:pBdr>
        <w:left w:val="single" w:color="auto" w:sz="4" w:space="0"/>
        <w:right w:val="double" w:color="auto" w:sz="6" w:space="0"/>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142">
    <w:name w:val="xl76"/>
    <w:basedOn w:val="1"/>
    <w:uiPriority w:val="0"/>
    <w:pPr>
      <w:pBdr>
        <w:left w:val="single" w:color="auto" w:sz="4" w:space="0"/>
        <w:bottom w:val="double" w:color="auto" w:sz="6" w:space="0"/>
        <w:right w:val="double" w:color="auto" w:sz="6" w:space="0"/>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143">
    <w:name w:val="xl77"/>
    <w:basedOn w:val="1"/>
    <w:uiPriority w:val="0"/>
    <w:pPr>
      <w:pBdr>
        <w:left w:val="single" w:color="auto" w:sz="4" w:space="0"/>
        <w:bottom w:val="single" w:color="auto" w:sz="8" w:space="0"/>
        <w:right w:val="double" w:color="auto" w:sz="6" w:space="0"/>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144">
    <w:name w:val="xl78"/>
    <w:basedOn w:val="1"/>
    <w:uiPriority w:val="0"/>
    <w:pPr>
      <w:pBdr>
        <w:top w:val="single" w:color="auto" w:sz="8" w:space="0"/>
        <w:left w:val="single" w:color="auto" w:sz="4" w:space="0"/>
        <w:right w:val="single" w:color="auto" w:sz="4" w:space="0"/>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145">
    <w:name w:val="xl79"/>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146">
    <w:name w:val="xl80"/>
    <w:basedOn w:val="1"/>
    <w:uiPriority w:val="0"/>
    <w:pPr>
      <w:pBdr>
        <w:left w:val="single" w:color="auto" w:sz="4" w:space="0"/>
        <w:bottom w:val="single" w:color="auto" w:sz="8" w:space="0"/>
        <w:right w:val="single" w:color="auto" w:sz="4" w:space="0"/>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147">
    <w:name w:val="xl81"/>
    <w:basedOn w:val="1"/>
    <w:uiPriority w:val="0"/>
    <w:pPr>
      <w:pBdr>
        <w:left w:val="single" w:color="auto" w:sz="4" w:space="0"/>
        <w:bottom w:val="single" w:color="auto" w:sz="8" w:space="0"/>
        <w:right w:val="single" w:color="auto" w:sz="4" w:space="0"/>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148">
    <w:name w:val="xl82"/>
    <w:basedOn w:val="1"/>
    <w:uiPriority w:val="0"/>
    <w:pPr>
      <w:pBdr>
        <w:top w:val="single" w:color="auto" w:sz="8" w:space="0"/>
        <w:left w:val="double" w:color="auto" w:sz="6" w:space="0"/>
        <w:right w:val="single" w:color="auto" w:sz="4" w:space="0"/>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149">
    <w:name w:val="xl83"/>
    <w:basedOn w:val="1"/>
    <w:uiPriority w:val="0"/>
    <w:pPr>
      <w:pBdr>
        <w:left w:val="double" w:color="auto" w:sz="6" w:space="0"/>
        <w:right w:val="single" w:color="auto" w:sz="4" w:space="0"/>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150">
    <w:name w:val="xl84"/>
    <w:basedOn w:val="1"/>
    <w:uiPriority w:val="0"/>
    <w:pPr>
      <w:pBdr>
        <w:left w:val="double" w:color="auto" w:sz="6" w:space="0"/>
        <w:bottom w:val="double" w:color="auto" w:sz="6" w:space="0"/>
        <w:right w:val="single" w:color="auto" w:sz="4" w:space="0"/>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151">
    <w:name w:val="xl85"/>
    <w:basedOn w:val="1"/>
    <w:uiPriority w:val="0"/>
    <w:pPr>
      <w:pBdr>
        <w:top w:val="single" w:color="auto" w:sz="8" w:space="0"/>
        <w:left w:val="single" w:color="auto" w:sz="4" w:space="0"/>
        <w:right w:val="single" w:color="auto" w:sz="4" w:space="0"/>
      </w:pBdr>
      <w:spacing w:before="100" w:beforeAutospacing="1" w:after="100" w:afterAutospacing="1" w:line="240" w:lineRule="auto"/>
      <w:jc w:val="center"/>
      <w:textAlignment w:val="center"/>
    </w:pPr>
    <w:rPr>
      <w:rFonts w:eastAsia="Times New Roman" w:cs="Calibri"/>
      <w:color w:val="0070C0"/>
      <w:sz w:val="24"/>
      <w:szCs w:val="24"/>
      <w:lang w:val="es-EC" w:eastAsia="es-EC"/>
    </w:rPr>
  </w:style>
  <w:style w:type="paragraph" w:customStyle="1" w:styleId="152">
    <w:name w:val="xl86"/>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eastAsia="Times New Roman" w:cs="Calibri"/>
      <w:color w:val="0070C0"/>
      <w:sz w:val="24"/>
      <w:szCs w:val="24"/>
      <w:lang w:val="es-EC" w:eastAsia="es-EC"/>
    </w:rPr>
  </w:style>
  <w:style w:type="paragraph" w:customStyle="1" w:styleId="153">
    <w:name w:val="xl87"/>
    <w:basedOn w:val="1"/>
    <w:uiPriority w:val="0"/>
    <w:pPr>
      <w:pBdr>
        <w:left w:val="single" w:color="auto" w:sz="4" w:space="0"/>
        <w:bottom w:val="single" w:color="auto" w:sz="8" w:space="0"/>
        <w:right w:val="single" w:color="auto" w:sz="4" w:space="0"/>
      </w:pBdr>
      <w:spacing w:before="100" w:beforeAutospacing="1" w:after="100" w:afterAutospacing="1" w:line="240" w:lineRule="auto"/>
      <w:jc w:val="center"/>
      <w:textAlignment w:val="center"/>
    </w:pPr>
    <w:rPr>
      <w:rFonts w:eastAsia="Times New Roman" w:cs="Calibri"/>
      <w:color w:val="0070C0"/>
      <w:sz w:val="24"/>
      <w:szCs w:val="24"/>
      <w:lang w:val="es-EC" w:eastAsia="es-EC"/>
    </w:rPr>
  </w:style>
  <w:style w:type="paragraph" w:customStyle="1" w:styleId="154">
    <w:name w:val="xl88"/>
    <w:basedOn w:val="1"/>
    <w:uiPriority w:val="0"/>
    <w:pPr>
      <w:pBdr>
        <w:left w:val="single" w:color="auto" w:sz="4" w:space="0"/>
        <w:bottom w:val="double" w:color="auto" w:sz="6" w:space="0"/>
        <w:right w:val="single" w:color="auto" w:sz="4" w:space="0"/>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155">
    <w:name w:val="xl89"/>
    <w:basedOn w:val="1"/>
    <w:uiPriority w:val="0"/>
    <w:pPr>
      <w:pBdr>
        <w:top w:val="double" w:color="auto" w:sz="6" w:space="0"/>
        <w:left w:val="double" w:color="auto" w:sz="6" w:space="0"/>
        <w:right w:val="single" w:color="auto" w:sz="4"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56">
    <w:name w:val="xl90"/>
    <w:basedOn w:val="1"/>
    <w:uiPriority w:val="0"/>
    <w:pPr>
      <w:pBdr>
        <w:left w:val="double" w:color="auto" w:sz="6" w:space="0"/>
        <w:right w:val="single" w:color="auto" w:sz="4"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57">
    <w:name w:val="xl91"/>
    <w:basedOn w:val="1"/>
    <w:uiPriority w:val="0"/>
    <w:pPr>
      <w:pBdr>
        <w:left w:val="double" w:color="auto" w:sz="6" w:space="0"/>
        <w:bottom w:val="single" w:color="auto" w:sz="8" w:space="0"/>
        <w:right w:val="single" w:color="auto" w:sz="4"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58">
    <w:name w:val="xl92"/>
    <w:basedOn w:val="1"/>
    <w:uiPriority w:val="0"/>
    <w:pPr>
      <w:pBdr>
        <w:top w:val="double" w:color="auto" w:sz="6" w:space="0"/>
        <w:left w:val="single" w:color="auto" w:sz="4" w:space="0"/>
        <w:right w:val="single" w:color="auto" w:sz="4"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59">
    <w:name w:val="xl93"/>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60">
    <w:name w:val="xl94"/>
    <w:basedOn w:val="1"/>
    <w:uiPriority w:val="0"/>
    <w:pPr>
      <w:pBdr>
        <w:left w:val="single" w:color="auto" w:sz="4" w:space="0"/>
        <w:bottom w:val="single" w:color="auto" w:sz="8" w:space="0"/>
        <w:right w:val="single" w:color="auto" w:sz="4"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61">
    <w:name w:val="xl95"/>
    <w:basedOn w:val="1"/>
    <w:uiPriority w:val="0"/>
    <w:pPr>
      <w:pBdr>
        <w:top w:val="double" w:color="auto" w:sz="6" w:space="0"/>
        <w:left w:val="single" w:color="auto" w:sz="4" w:space="0"/>
        <w:bottom w:val="single" w:color="auto" w:sz="8" w:space="0"/>
        <w:right w:val="single" w:color="auto" w:sz="4"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62">
    <w:name w:val="xl96"/>
    <w:basedOn w:val="1"/>
    <w:uiPriority w:val="0"/>
    <w:pPr>
      <w:pBdr>
        <w:top w:val="double" w:color="auto" w:sz="6" w:space="0"/>
        <w:left w:val="single" w:color="auto" w:sz="4" w:space="0"/>
        <w:bottom w:val="single" w:color="auto" w:sz="8" w:space="0"/>
        <w:right w:val="double" w:color="auto" w:sz="6"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63">
    <w:name w:val="xl97"/>
    <w:basedOn w:val="1"/>
    <w:uiPriority w:val="0"/>
    <w:pPr>
      <w:pBdr>
        <w:top w:val="single" w:color="auto" w:sz="8" w:space="0"/>
        <w:left w:val="single" w:color="auto" w:sz="4" w:space="0"/>
        <w:right w:val="single" w:color="auto" w:sz="4"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64">
    <w:name w:val="xl98"/>
    <w:basedOn w:val="1"/>
    <w:uiPriority w:val="0"/>
    <w:pPr>
      <w:pBdr>
        <w:top w:val="single" w:color="auto" w:sz="8" w:space="0"/>
        <w:left w:val="single" w:color="auto" w:sz="4" w:space="0"/>
        <w:right w:val="double" w:color="auto" w:sz="6"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65">
    <w:name w:val="xl99"/>
    <w:basedOn w:val="1"/>
    <w:uiPriority w:val="0"/>
    <w:pPr>
      <w:pBdr>
        <w:left w:val="single" w:color="auto" w:sz="4" w:space="0"/>
        <w:bottom w:val="single" w:color="auto" w:sz="8" w:space="0"/>
        <w:right w:val="double" w:color="auto" w:sz="6" w:space="0"/>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166">
    <w:name w:val="xl100"/>
    <w:basedOn w:val="1"/>
    <w:uiPriority w:val="0"/>
    <w:pPr>
      <w:pBdr>
        <w:left w:val="single" w:color="auto" w:sz="4" w:space="0"/>
        <w:bottom w:val="single" w:color="auto" w:sz="8" w:space="0"/>
        <w:right w:val="single" w:color="auto" w:sz="4" w:space="0"/>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167">
    <w:name w:val="xl101"/>
    <w:basedOn w:val="1"/>
    <w:uiPriority w:val="0"/>
    <w:pPr>
      <w:spacing w:before="100" w:beforeAutospacing="1" w:after="100" w:afterAutospacing="1" w:line="240" w:lineRule="auto"/>
    </w:pPr>
    <w:rPr>
      <w:rFonts w:eastAsia="Times New Roman" w:cs="Calibri"/>
      <w:sz w:val="18"/>
      <w:szCs w:val="18"/>
      <w:lang w:val="es-EC" w:eastAsia="es-EC"/>
    </w:rPr>
  </w:style>
  <w:style w:type="paragraph" w:customStyle="1" w:styleId="168">
    <w:name w:val="xl102"/>
    <w:basedOn w:val="1"/>
    <w:uiPriority w:val="0"/>
    <w:pPr>
      <w:pBdr>
        <w:left w:val="single" w:color="auto" w:sz="4" w:space="0"/>
        <w:bottom w:val="single" w:color="auto" w:sz="8" w:space="0"/>
        <w:right w:val="single" w:color="auto" w:sz="4" w:space="0"/>
      </w:pBdr>
      <w:spacing w:before="100" w:beforeAutospacing="1" w:after="100" w:afterAutospacing="1" w:line="240" w:lineRule="auto"/>
    </w:pPr>
    <w:rPr>
      <w:rFonts w:eastAsia="Times New Roman" w:cs="Calibri"/>
      <w:sz w:val="18"/>
      <w:szCs w:val="18"/>
      <w:lang w:val="es-EC" w:eastAsia="es-EC"/>
    </w:rPr>
  </w:style>
  <w:style w:type="paragraph" w:customStyle="1" w:styleId="169">
    <w:name w:val="defaultfont"/>
    <w:basedOn w:val="1"/>
    <w:uiPriority w:val="0"/>
    <w:pPr>
      <w:spacing w:before="100" w:beforeAutospacing="1" w:after="100" w:afterAutospacing="1" w:line="240" w:lineRule="auto"/>
    </w:pPr>
    <w:rPr>
      <w:rFonts w:ascii="Times New Roman" w:hAnsi="Times New Roman" w:eastAsia="Times New Roman"/>
      <w:sz w:val="24"/>
      <w:szCs w:val="24"/>
      <w:lang w:val="es-EC" w:eastAsia="es-EC"/>
    </w:rPr>
  </w:style>
  <w:style w:type="character" w:customStyle="1" w:styleId="170">
    <w:name w:val="apple-converted-space"/>
    <w:basedOn w:val="40"/>
    <w:uiPriority w:val="0"/>
  </w:style>
  <w:style w:type="paragraph" w:customStyle="1" w:styleId="171">
    <w:name w:val="xl103"/>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textAlignment w:val="center"/>
    </w:pPr>
    <w:rPr>
      <w:rFonts w:eastAsia="Times New Roman"/>
      <w:b/>
      <w:bCs/>
      <w:color w:val="000000"/>
      <w:sz w:val="24"/>
      <w:szCs w:val="24"/>
      <w:lang w:val="es-EC" w:eastAsia="es-EC"/>
    </w:rPr>
  </w:style>
  <w:style w:type="paragraph" w:customStyle="1" w:styleId="172">
    <w:name w:val="xl104"/>
    <w:basedOn w:val="1"/>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jc w:val="center"/>
      <w:textAlignment w:val="center"/>
    </w:pPr>
    <w:rPr>
      <w:rFonts w:eastAsia="Times New Roman"/>
      <w:b/>
      <w:bCs/>
      <w:color w:val="000000"/>
      <w:sz w:val="24"/>
      <w:szCs w:val="24"/>
      <w:lang w:val="es-EC" w:eastAsia="es-EC"/>
    </w:rPr>
  </w:style>
  <w:style w:type="paragraph" w:customStyle="1" w:styleId="173">
    <w:name w:val="xl105"/>
    <w:basedOn w:val="1"/>
    <w:uiPriority w:val="0"/>
    <w:pPr>
      <w:pBdr>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eastAsia="Times New Roman"/>
      <w:b/>
      <w:bCs/>
      <w:color w:val="000000"/>
      <w:sz w:val="18"/>
      <w:szCs w:val="18"/>
      <w:lang w:val="es-EC" w:eastAsia="es-EC"/>
    </w:rPr>
  </w:style>
  <w:style w:type="paragraph" w:customStyle="1" w:styleId="174">
    <w:name w:val="xl106"/>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eastAsia="Times New Roman"/>
      <w:color w:val="333300"/>
      <w:sz w:val="18"/>
      <w:szCs w:val="18"/>
      <w:lang w:val="es-EC" w:eastAsia="es-EC"/>
    </w:rPr>
  </w:style>
  <w:style w:type="paragraph" w:customStyle="1" w:styleId="175">
    <w:name w:val="xl107"/>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eastAsia="Times New Roman"/>
      <w:color w:val="000000"/>
      <w:sz w:val="16"/>
      <w:szCs w:val="16"/>
      <w:lang w:val="es-EC" w:eastAsia="es-EC"/>
    </w:rPr>
  </w:style>
  <w:style w:type="paragraph" w:customStyle="1" w:styleId="176">
    <w:name w:val="xl108"/>
    <w:basedOn w:val="1"/>
    <w:uiPriority w:val="0"/>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eastAsia="Times New Roman"/>
      <w:color w:val="000000"/>
      <w:sz w:val="16"/>
      <w:szCs w:val="16"/>
      <w:lang w:val="es-EC" w:eastAsia="es-EC"/>
    </w:rPr>
  </w:style>
  <w:style w:type="paragraph" w:customStyle="1" w:styleId="177">
    <w:name w:val="xl109"/>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eastAsia="Times New Roman"/>
      <w:color w:val="333300"/>
      <w:sz w:val="18"/>
      <w:szCs w:val="18"/>
      <w:lang w:val="es-EC" w:eastAsia="es-EC"/>
    </w:rPr>
  </w:style>
  <w:style w:type="paragraph" w:customStyle="1" w:styleId="178">
    <w:name w:val="xl110"/>
    <w:basedOn w:val="1"/>
    <w:uiPriority w:val="0"/>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eastAsia="Times New Roman"/>
      <w:color w:val="333300"/>
      <w:sz w:val="18"/>
      <w:szCs w:val="18"/>
      <w:lang w:val="es-EC" w:eastAsia="es-EC"/>
    </w:rPr>
  </w:style>
  <w:style w:type="paragraph" w:customStyle="1" w:styleId="179">
    <w:name w:val="xl111"/>
    <w:basedOn w:val="1"/>
    <w:uiPriority w:val="0"/>
    <w:pPr>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sz w:val="24"/>
      <w:szCs w:val="24"/>
      <w:lang w:val="es-EC" w:eastAsia="es-EC"/>
    </w:rPr>
  </w:style>
  <w:style w:type="paragraph" w:customStyle="1" w:styleId="180">
    <w:name w:val="Table Paragraph"/>
    <w:basedOn w:val="1"/>
    <w:qFormat/>
    <w:uiPriority w:val="1"/>
    <w:pPr>
      <w:widowControl w:val="0"/>
      <w:spacing w:after="0" w:line="240" w:lineRule="auto"/>
      <w:ind w:left="28" w:right="83"/>
    </w:pPr>
    <w:rPr>
      <w:rFonts w:ascii="Arial" w:hAnsi="Arial" w:eastAsia="Arial" w:cs="Arial"/>
    </w:rPr>
  </w:style>
  <w:style w:type="character" w:customStyle="1" w:styleId="181">
    <w:name w:val="Unresolved Mention"/>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7" Type="http://schemas.openxmlformats.org/officeDocument/2006/relationships/fontTable" Target="fontTable.xml"/><Relationship Id="rId66" Type="http://schemas.openxmlformats.org/officeDocument/2006/relationships/customXml" Target="../customXml/item7.xml"/><Relationship Id="rId65" Type="http://schemas.openxmlformats.org/officeDocument/2006/relationships/customXml" Target="../customXml/item6.xml"/><Relationship Id="rId64" Type="http://schemas.openxmlformats.org/officeDocument/2006/relationships/customXml" Target="../customXml/item5.xml"/><Relationship Id="rId63" Type="http://schemas.openxmlformats.org/officeDocument/2006/relationships/customXml" Target="../customXml/item4.xml"/><Relationship Id="rId62" Type="http://schemas.openxmlformats.org/officeDocument/2006/relationships/customXml" Target="../customXml/item3.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42.emf"/><Relationship Id="rId57" Type="http://schemas.openxmlformats.org/officeDocument/2006/relationships/image" Target="media/image41.emf"/><Relationship Id="rId56" Type="http://schemas.openxmlformats.org/officeDocument/2006/relationships/image" Target="media/image40.emf"/><Relationship Id="rId55" Type="http://schemas.openxmlformats.org/officeDocument/2006/relationships/image" Target="media/image39.emf"/><Relationship Id="rId54" Type="http://schemas.openxmlformats.org/officeDocument/2006/relationships/image" Target="media/image38.emf"/><Relationship Id="rId53" Type="http://schemas.openxmlformats.org/officeDocument/2006/relationships/image" Target="media/image37.emf"/><Relationship Id="rId52" Type="http://schemas.openxmlformats.org/officeDocument/2006/relationships/image" Target="media/image36.emf"/><Relationship Id="rId51" Type="http://schemas.openxmlformats.org/officeDocument/2006/relationships/image" Target="media/image35.emf"/><Relationship Id="rId50" Type="http://schemas.openxmlformats.org/officeDocument/2006/relationships/image" Target="media/image34.emf"/><Relationship Id="rId5" Type="http://schemas.openxmlformats.org/officeDocument/2006/relationships/header" Target="header2.xml"/><Relationship Id="rId49" Type="http://schemas.openxmlformats.org/officeDocument/2006/relationships/image" Target="media/image33.emf"/><Relationship Id="rId48" Type="http://schemas.openxmlformats.org/officeDocument/2006/relationships/image" Target="media/image32.emf"/><Relationship Id="rId47" Type="http://schemas.openxmlformats.org/officeDocument/2006/relationships/image" Target="media/image31.emf"/><Relationship Id="rId46" Type="http://schemas.openxmlformats.org/officeDocument/2006/relationships/image" Target="media/image30.emf"/><Relationship Id="rId45" Type="http://schemas.openxmlformats.org/officeDocument/2006/relationships/image" Target="media/image29.emf"/><Relationship Id="rId44" Type="http://schemas.openxmlformats.org/officeDocument/2006/relationships/image" Target="media/image28.emf"/><Relationship Id="rId43" Type="http://schemas.openxmlformats.org/officeDocument/2006/relationships/image" Target="media/image27.emf"/><Relationship Id="rId42" Type="http://schemas.openxmlformats.org/officeDocument/2006/relationships/image" Target="media/image26.emf"/><Relationship Id="rId41" Type="http://schemas.openxmlformats.org/officeDocument/2006/relationships/image" Target="media/image25.emf"/><Relationship Id="rId40" Type="http://schemas.openxmlformats.org/officeDocument/2006/relationships/image" Target="media/image24.emf"/><Relationship Id="rId4" Type="http://schemas.openxmlformats.org/officeDocument/2006/relationships/header" Target="header1.xml"/><Relationship Id="rId39" Type="http://schemas.openxmlformats.org/officeDocument/2006/relationships/image" Target="media/image23.emf"/><Relationship Id="rId38" Type="http://schemas.openxmlformats.org/officeDocument/2006/relationships/image" Target="media/image22.emf"/><Relationship Id="rId37" Type="http://schemas.openxmlformats.org/officeDocument/2006/relationships/image" Target="media/image21.emf"/><Relationship Id="rId36" Type="http://schemas.openxmlformats.org/officeDocument/2006/relationships/image" Target="media/image20.emf"/><Relationship Id="rId35" Type="http://schemas.openxmlformats.org/officeDocument/2006/relationships/image" Target="media/image19.emf"/><Relationship Id="rId34" Type="http://schemas.openxmlformats.org/officeDocument/2006/relationships/image" Target="media/image18.emf"/><Relationship Id="rId33" Type="http://schemas.openxmlformats.org/officeDocument/2006/relationships/image" Target="media/image17.emf"/><Relationship Id="rId32" Type="http://schemas.openxmlformats.org/officeDocument/2006/relationships/image" Target="media/image16.emf"/><Relationship Id="rId31" Type="http://schemas.openxmlformats.org/officeDocument/2006/relationships/image" Target="media/image15.emf"/><Relationship Id="rId30" Type="http://schemas.openxmlformats.org/officeDocument/2006/relationships/image" Target="media/image14.emf"/><Relationship Id="rId3" Type="http://schemas.openxmlformats.org/officeDocument/2006/relationships/footnotes" Target="footnotes.xml"/><Relationship Id="rId29" Type="http://schemas.openxmlformats.org/officeDocument/2006/relationships/image" Target="media/image13.emf"/><Relationship Id="rId28" Type="http://schemas.openxmlformats.org/officeDocument/2006/relationships/image" Target="media/image12.emf"/><Relationship Id="rId27" Type="http://schemas.openxmlformats.org/officeDocument/2006/relationships/image" Target="media/image11.emf"/><Relationship Id="rId26" Type="http://schemas.openxmlformats.org/officeDocument/2006/relationships/image" Target="media/image10.emf"/><Relationship Id="rId25" Type="http://schemas.openxmlformats.org/officeDocument/2006/relationships/image" Target="media/image9.emf"/><Relationship Id="rId24" Type="http://schemas.openxmlformats.org/officeDocument/2006/relationships/image" Target="media/image8.emf"/><Relationship Id="rId23" Type="http://schemas.openxmlformats.org/officeDocument/2006/relationships/image" Target="media/image7.emf"/><Relationship Id="rId22" Type="http://schemas.openxmlformats.org/officeDocument/2006/relationships/image" Target="media/image6.emf"/><Relationship Id="rId21" Type="http://schemas.openxmlformats.org/officeDocument/2006/relationships/image" Target="media/image5.emf"/><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theme" Target="theme/theme1.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a.munoz\Desktop\NATALIA\MULTIFASE\NEONATOLOGIA\PLIEGO\DDL%20Neonatolog&#237;a%20CANCEC%20BI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E1FEE29637A4A478F0614E5C0BC5091" ma:contentTypeVersion="11" ma:contentTypeDescription="Create a new document." ma:contentTypeScope="" ma:versionID="0a851c77b7e5c0e70d0a0ba7c033b963">
  <xsd:schema xmlns:xsd="http://www.w3.org/2001/XMLSchema" xmlns:xs="http://www.w3.org/2001/XMLSchema" xmlns:p="http://schemas.microsoft.com/office/2006/metadata/properties" xmlns:ns2="cdc7663a-08f0-4737-9e8c-148ce897a09c" xmlns:ns3="c3bd03ac-ea0e-48ef-992e-cdd16a4ab1df" targetNamespace="http://schemas.microsoft.com/office/2006/metadata/properties" ma:root="true" ma:fieldsID="debea3da009e7290a471fcea25535309" ns2:_="" ns3:_="">
    <xsd:import namespace="cdc7663a-08f0-4737-9e8c-148ce897a09c"/>
    <xsd:import namespace="c3bd03ac-ea0e-48ef-992e-cdd16a4ab1d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bd03ac-ea0e-48ef-992e-cdd16a4ab1d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p:properties>
</file>

<file path=customXml/item6.xml><?xml version="1.0" encoding="utf-8"?>
<LongProperties xmlns="http://schemas.microsoft.com/office/2006/metadata/long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86EFC4-C0F5-4381-AFBC-D5576E456855}">
  <ds:schemaRefs/>
</ds:datastoreItem>
</file>

<file path=customXml/itemProps3.xml><?xml version="1.0" encoding="utf-8"?>
<ds:datastoreItem xmlns:ds="http://schemas.openxmlformats.org/officeDocument/2006/customXml" ds:itemID="{2057A5D3-4583-4DB6-85BB-F186C84EB667}">
  <ds:schemaRefs/>
</ds:datastoreItem>
</file>

<file path=customXml/itemProps4.xml><?xml version="1.0" encoding="utf-8"?>
<ds:datastoreItem xmlns:ds="http://schemas.openxmlformats.org/officeDocument/2006/customXml" ds:itemID="{0C04B6E2-E812-4ECD-B291-3217886C2C5B}">
  <ds:schemaRefs/>
</ds:datastoreItem>
</file>

<file path=customXml/itemProps5.xml><?xml version="1.0" encoding="utf-8"?>
<ds:datastoreItem xmlns:ds="http://schemas.openxmlformats.org/officeDocument/2006/customXml" ds:itemID="{69A4E5D5-6BE3-45E8-9742-93A32B9B858C}">
  <ds:schemaRefs/>
</ds:datastoreItem>
</file>

<file path=customXml/itemProps6.xml><?xml version="1.0" encoding="utf-8"?>
<ds:datastoreItem xmlns:ds="http://schemas.openxmlformats.org/officeDocument/2006/customXml" ds:itemID="{2532F26A-7DF5-478B-9EE7-B742F9253E35}">
  <ds:schemaRefs/>
</ds:datastoreItem>
</file>

<file path=customXml/itemProps7.xml><?xml version="1.0" encoding="utf-8"?>
<ds:datastoreItem xmlns:ds="http://schemas.openxmlformats.org/officeDocument/2006/customXml" ds:itemID="{6FE8BDA1-707F-44A4-BE66-03981B42FBCB}">
  <ds:schemaRefs/>
</ds:datastoreItem>
</file>

<file path=docProps/app.xml><?xml version="1.0" encoding="utf-8"?>
<Properties xmlns="http://schemas.openxmlformats.org/officeDocument/2006/extended-properties" xmlns:vt="http://schemas.openxmlformats.org/officeDocument/2006/docPropsVTypes">
  <Template>DDL Neonatología CANCEC BID</Template>
  <Pages>156</Pages>
  <Words>43289</Words>
  <Characters>238090</Characters>
  <Lines>1984</Lines>
  <Paragraphs>561</Paragraphs>
  <TotalTime>108</TotalTime>
  <ScaleCrop>false</ScaleCrop>
  <LinksUpToDate>false</LinksUpToDate>
  <CharactersWithSpaces>280818</CharactersWithSpaces>
  <Application>WPS Office_10.2.0.7480_F1E327BC-269C-435d-A152-05C5408002CA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2019-11-15T14:16:00Z</dcterms:created>
  <dc:creator>natalia.munoz</dc:creator>
  <cp:lastModifiedBy>raquel.montero</cp:lastModifiedBy>
  <cp:lastPrinted>2019-06-20T15:35:00Z</cp:lastPrinted>
  <dcterms:modified xsi:type="dcterms:W3CDTF">2019-11-28T13:31:53Z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D244UWF4URT4-204726130-25228</vt:lpwstr>
  </property>
  <property fmtid="{D5CDD505-2E9C-101B-9397-08002B2CF9AE}" pid="3" name="_dlc_DocIdItemGuid">
    <vt:lpwstr>794eb674-173c-4fea-9d36-40e6a5706047</vt:lpwstr>
  </property>
  <property fmtid="{D5CDD505-2E9C-101B-9397-08002B2CF9AE}" pid="4" name="_dlc_DocIdUrl">
    <vt:lpwstr>https://idbg.sharepoint.com/teams/SISCOR365/CAN_CEC/_layouts/15/DocIdRedir.aspx?ID=D244UWF4URT4-204726130-25228, D244UWF4URT4-204726130-25228</vt:lpwstr>
  </property>
  <property fmtid="{D5CDD505-2E9C-101B-9397-08002B2CF9AE}" pid="5" name="KSOProductBuildVer">
    <vt:lpwstr>3082-10.2.0.7480</vt:lpwstr>
  </property>
</Properties>
</file>